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B5F" w:rsidRDefault="007C7B5F" w:rsidP="001160E2">
      <w:pPr>
        <w:rPr>
          <w:i/>
          <w:iCs/>
          <w:lang w:val="en-US"/>
        </w:rPr>
      </w:pPr>
    </w:p>
    <w:p w:rsidR="007C7B5F" w:rsidRPr="00A5024F" w:rsidRDefault="007C7B5F" w:rsidP="001160E2">
      <w:pPr>
        <w:rPr>
          <w:i/>
          <w:iCs/>
          <w:lang w:val="en-US"/>
        </w:rPr>
      </w:pPr>
    </w:p>
    <w:p w:rsidR="00DF6FDB" w:rsidRDefault="00DF6FDB" w:rsidP="001160E2">
      <w:pPr>
        <w:rPr>
          <w:iCs/>
        </w:rPr>
      </w:pPr>
    </w:p>
    <w:p w:rsidR="001160E2" w:rsidRPr="00A866EF" w:rsidRDefault="001160E2" w:rsidP="001160E2">
      <w:pPr>
        <w:rPr>
          <w:iCs/>
        </w:rPr>
      </w:pPr>
      <w:r w:rsidRPr="00A866EF">
        <w:rPr>
          <w:iCs/>
        </w:rPr>
        <w:t>Р Е П У Б Л И К А С Р П С К А</w:t>
      </w:r>
      <w:r w:rsidRPr="00A866EF">
        <w:rPr>
          <w:iCs/>
        </w:rPr>
        <w:tab/>
      </w:r>
      <w:r w:rsidR="00A866EF" w:rsidRPr="00A866EF">
        <w:rPr>
          <w:iCs/>
        </w:rPr>
        <w:t>Улица Цара Душана 44</w:t>
      </w:r>
      <w:r w:rsidRPr="00A866EF">
        <w:rPr>
          <w:iCs/>
        </w:rPr>
        <w:t>.</w:t>
      </w:r>
    </w:p>
    <w:p w:rsidR="001160E2" w:rsidRPr="00A866EF" w:rsidRDefault="001160E2" w:rsidP="001160E2">
      <w:pPr>
        <w:rPr>
          <w:iCs/>
        </w:rPr>
      </w:pPr>
      <w:r w:rsidRPr="00A866EF">
        <w:rPr>
          <w:iCs/>
        </w:rPr>
        <w:t xml:space="preserve">ОПШТИНА </w:t>
      </w:r>
      <w:r w:rsidR="00A866EF" w:rsidRPr="00A866EF">
        <w:rPr>
          <w:iCs/>
        </w:rPr>
        <w:t>НЕВЕСИЊЕ</w:t>
      </w:r>
      <w:r w:rsidRPr="00A866EF">
        <w:rPr>
          <w:iCs/>
        </w:rPr>
        <w:tab/>
        <w:t>телефон:05</w:t>
      </w:r>
      <w:r w:rsidR="00A866EF" w:rsidRPr="00A866EF">
        <w:rPr>
          <w:iCs/>
        </w:rPr>
        <w:t>9</w:t>
      </w:r>
      <w:r w:rsidRPr="00A866EF">
        <w:rPr>
          <w:iCs/>
        </w:rPr>
        <w:t>/</w:t>
      </w:r>
      <w:r w:rsidR="00A866EF" w:rsidRPr="00A866EF">
        <w:rPr>
          <w:iCs/>
        </w:rPr>
        <w:t>602-018</w:t>
      </w:r>
    </w:p>
    <w:p w:rsidR="001160E2" w:rsidRPr="00A866EF" w:rsidRDefault="001160E2" w:rsidP="001160E2">
      <w:pPr>
        <w:rPr>
          <w:iCs/>
        </w:rPr>
      </w:pPr>
      <w:r w:rsidRPr="00A866EF">
        <w:rPr>
          <w:iCs/>
        </w:rPr>
        <w:t>ОПШТИНСКА УПРАВА факс: 05</w:t>
      </w:r>
      <w:r w:rsidR="00A866EF" w:rsidRPr="00A866EF">
        <w:rPr>
          <w:iCs/>
        </w:rPr>
        <w:t>9/601-018</w:t>
      </w:r>
    </w:p>
    <w:p w:rsidR="001160E2" w:rsidRPr="00BF1606" w:rsidRDefault="001160E2" w:rsidP="001160E2">
      <w:pPr>
        <w:rPr>
          <w:iCs/>
          <w:lang w:val="sr-Latn-BA"/>
        </w:rPr>
      </w:pPr>
      <w:r w:rsidRPr="00A866EF">
        <w:rPr>
          <w:iCs/>
        </w:rPr>
        <w:t xml:space="preserve">О д ј е љ е њ е з а ф и н а н с и ј е Е-маил: </w:t>
      </w:r>
      <w:r w:rsidR="007D0D74">
        <w:rPr>
          <w:iCs/>
          <w:lang w:val="sr-Latn-BA"/>
        </w:rPr>
        <w:t>finansije.</w:t>
      </w:r>
      <w:r w:rsidR="008F1FA8">
        <w:rPr>
          <w:iCs/>
          <w:lang w:val="sr-Latn-BA"/>
        </w:rPr>
        <w:t>nevesinje</w:t>
      </w:r>
      <w:r w:rsidR="00C91A6F" w:rsidRPr="00C45A00">
        <w:rPr>
          <w:i/>
          <w:iCs/>
        </w:rPr>
        <w:t>@</w:t>
      </w:r>
      <w:r w:rsidR="008F1FA8">
        <w:rPr>
          <w:iCs/>
          <w:lang w:val="sr-Latn-BA"/>
        </w:rPr>
        <w:t>gmail.com</w:t>
      </w:r>
    </w:p>
    <w:p w:rsidR="001160E2" w:rsidRPr="00A92C69" w:rsidRDefault="001160E2" w:rsidP="001160E2">
      <w:pPr>
        <w:rPr>
          <w:iCs/>
          <w:lang w:val="en-US"/>
        </w:rPr>
      </w:pPr>
      <w:r w:rsidRPr="00A866EF">
        <w:rPr>
          <w:iCs/>
        </w:rPr>
        <w:t xml:space="preserve">Број: </w:t>
      </w:r>
      <w:r w:rsidR="002706E2">
        <w:rPr>
          <w:iCs/>
          <w:lang w:val="sr-Latn-BA"/>
        </w:rPr>
        <w:t>03/40</w:t>
      </w:r>
      <w:r w:rsidR="00F04027">
        <w:rPr>
          <w:iCs/>
          <w:lang w:val="sr-Latn-BA"/>
        </w:rPr>
        <w:t>2</w:t>
      </w:r>
      <w:r w:rsidR="002706E2">
        <w:rPr>
          <w:iCs/>
          <w:lang w:val="sr-Latn-BA"/>
        </w:rPr>
        <w:t>-</w:t>
      </w:r>
      <w:r w:rsidR="00A92C69">
        <w:rPr>
          <w:iCs/>
          <w:lang w:val="en-US"/>
        </w:rPr>
        <w:t>2</w:t>
      </w:r>
      <w:r w:rsidR="00A92C69">
        <w:rPr>
          <w:iCs/>
        </w:rPr>
        <w:t>/</w:t>
      </w:r>
      <w:r w:rsidR="0023426E">
        <w:rPr>
          <w:iCs/>
          <w:lang w:val="en-US"/>
        </w:rPr>
        <w:t>21</w:t>
      </w:r>
    </w:p>
    <w:p w:rsidR="001160E2" w:rsidRDefault="001160E2" w:rsidP="001160E2">
      <w:pPr>
        <w:rPr>
          <w:iCs/>
          <w:lang w:val="en-US"/>
        </w:rPr>
      </w:pPr>
      <w:r w:rsidRPr="00A866EF">
        <w:rPr>
          <w:iCs/>
        </w:rPr>
        <w:t xml:space="preserve">Датум, </w:t>
      </w:r>
      <w:r w:rsidR="00A92C69">
        <w:rPr>
          <w:iCs/>
          <w:lang w:val="en-US"/>
        </w:rPr>
        <w:t>20</w:t>
      </w:r>
      <w:r w:rsidR="00A92C69">
        <w:rPr>
          <w:iCs/>
        </w:rPr>
        <w:t>.07.20</w:t>
      </w:r>
      <w:r w:rsidR="0023426E">
        <w:rPr>
          <w:iCs/>
          <w:lang w:val="en-US"/>
        </w:rPr>
        <w:t>21</w:t>
      </w:r>
      <w:r w:rsidRPr="00A866EF">
        <w:rPr>
          <w:iCs/>
        </w:rPr>
        <w:t>. године</w:t>
      </w:r>
    </w:p>
    <w:p w:rsidR="004B7FB0" w:rsidRPr="004B7FB0" w:rsidRDefault="004B7FB0" w:rsidP="001160E2">
      <w:pPr>
        <w:rPr>
          <w:iCs/>
          <w:lang w:val="en-US"/>
        </w:rPr>
      </w:pPr>
    </w:p>
    <w:p w:rsidR="001160E2" w:rsidRDefault="001160E2" w:rsidP="001160E2">
      <w:pPr>
        <w:rPr>
          <w:b/>
          <w:iCs/>
        </w:rPr>
      </w:pPr>
      <w:r w:rsidRPr="00797CA7">
        <w:rPr>
          <w:b/>
          <w:iCs/>
        </w:rPr>
        <w:t xml:space="preserve">СВИМ КОРИСНИЦИМА БУЏЕТА ОПШТИНЕ </w:t>
      </w:r>
      <w:r w:rsidR="00C91A6F" w:rsidRPr="00797CA7">
        <w:rPr>
          <w:b/>
          <w:iCs/>
        </w:rPr>
        <w:t>НЕВЕСИЊЕ</w:t>
      </w:r>
    </w:p>
    <w:p w:rsidR="001160E2" w:rsidRPr="00C21B34" w:rsidRDefault="001160E2" w:rsidP="001160E2">
      <w:pPr>
        <w:rPr>
          <w:iCs/>
          <w:lang w:val="en-US"/>
        </w:rPr>
      </w:pPr>
    </w:p>
    <w:p w:rsidR="00DF6FDB" w:rsidRPr="00C91A6F" w:rsidRDefault="001160E2" w:rsidP="001160E2">
      <w:pPr>
        <w:rPr>
          <w:iCs/>
        </w:rPr>
      </w:pPr>
      <w:r w:rsidRPr="00797CA7">
        <w:rPr>
          <w:b/>
          <w:iCs/>
        </w:rPr>
        <w:t>П р е д м е т:</w:t>
      </w:r>
      <w:r w:rsidRPr="00C91A6F">
        <w:rPr>
          <w:iCs/>
        </w:rPr>
        <w:t xml:space="preserve"> Достава Упутства </w:t>
      </w:r>
    </w:p>
    <w:p w:rsidR="001160E2" w:rsidRPr="00C91A6F" w:rsidRDefault="001160E2" w:rsidP="001160E2">
      <w:pPr>
        <w:rPr>
          <w:iCs/>
        </w:rPr>
      </w:pPr>
    </w:p>
    <w:p w:rsidR="001160E2" w:rsidRPr="008F1FA8" w:rsidRDefault="001160E2" w:rsidP="00C91A6F">
      <w:pPr>
        <w:jc w:val="both"/>
        <w:rPr>
          <w:iCs/>
        </w:rPr>
      </w:pPr>
      <w:r w:rsidRPr="008F1FA8">
        <w:rPr>
          <w:iCs/>
        </w:rPr>
        <w:t>У складу са чл. 29. Закона</w:t>
      </w:r>
      <w:r w:rsidR="009A3863">
        <w:rPr>
          <w:iCs/>
        </w:rPr>
        <w:t xml:space="preserve"> о буџетском систему Републике С</w:t>
      </w:r>
      <w:r w:rsidRPr="008F1FA8">
        <w:rPr>
          <w:iCs/>
        </w:rPr>
        <w:t xml:space="preserve">рпске („Службени гласник Републике Српске“, број 121/12, 52/14, 103/15 и 15/16) достављамо Вам </w:t>
      </w:r>
      <w:r w:rsidRPr="00C21B34">
        <w:rPr>
          <w:b/>
          <w:iCs/>
        </w:rPr>
        <w:t>Упутство</w:t>
      </w:r>
      <w:r w:rsidRPr="008F1FA8">
        <w:rPr>
          <w:iCs/>
        </w:rPr>
        <w:t xml:space="preserve"> за припрему буџета општине </w:t>
      </w:r>
      <w:r w:rsidR="00C91A6F" w:rsidRPr="008F1FA8">
        <w:rPr>
          <w:iCs/>
        </w:rPr>
        <w:t>Невесиње</w:t>
      </w:r>
      <w:r w:rsidR="00A92C69">
        <w:rPr>
          <w:iCs/>
        </w:rPr>
        <w:t xml:space="preserve"> за 202</w:t>
      </w:r>
      <w:r w:rsidR="0023426E">
        <w:rPr>
          <w:iCs/>
          <w:lang w:val="en-US"/>
        </w:rPr>
        <w:t>2</w:t>
      </w:r>
      <w:r w:rsidRPr="008F1FA8">
        <w:rPr>
          <w:iCs/>
        </w:rPr>
        <w:t>. годину.</w:t>
      </w:r>
    </w:p>
    <w:p w:rsidR="001160E2" w:rsidRPr="008F1FA8" w:rsidRDefault="00A92C69" w:rsidP="00C91A6F">
      <w:pPr>
        <w:jc w:val="both"/>
        <w:rPr>
          <w:iCs/>
        </w:rPr>
      </w:pPr>
      <w:r>
        <w:rPr>
          <w:iCs/>
        </w:rPr>
        <w:t>У циљу израде Н</w:t>
      </w:r>
      <w:r w:rsidR="001160E2" w:rsidRPr="008F1FA8">
        <w:rPr>
          <w:iCs/>
        </w:rPr>
        <w:t xml:space="preserve">ацрта буџета општине </w:t>
      </w:r>
      <w:r w:rsidR="00C91A6F" w:rsidRPr="008F1FA8">
        <w:rPr>
          <w:iCs/>
        </w:rPr>
        <w:t>Невесиње</w:t>
      </w:r>
      <w:r w:rsidR="001160E2" w:rsidRPr="008F1FA8">
        <w:rPr>
          <w:iCs/>
        </w:rPr>
        <w:t xml:space="preserve"> сви буџетски корисници (п</w:t>
      </w:r>
      <w:r w:rsidR="0060321B">
        <w:rPr>
          <w:iCs/>
        </w:rPr>
        <w:t>отрошачке јединице) су дужни да</w:t>
      </w:r>
      <w:r w:rsidR="001160E2" w:rsidRPr="008F1FA8">
        <w:rPr>
          <w:iCs/>
        </w:rPr>
        <w:t xml:space="preserve"> примјеном члана 30</w:t>
      </w:r>
      <w:r>
        <w:rPr>
          <w:iCs/>
        </w:rPr>
        <w:t xml:space="preserve"> </w:t>
      </w:r>
      <w:r w:rsidR="001160E2" w:rsidRPr="008F1FA8">
        <w:rPr>
          <w:iCs/>
        </w:rPr>
        <w:t>, а у складу са чланом 25. поменутог Закона, сачине свој буџетски захтјев (приједлог финансијског плана) за наредну годину и доставе га Одјељењу за финансије.</w:t>
      </w:r>
    </w:p>
    <w:p w:rsidR="001160E2" w:rsidRPr="008F1FA8" w:rsidRDefault="001160E2" w:rsidP="00C91A6F">
      <w:pPr>
        <w:jc w:val="both"/>
        <w:rPr>
          <w:iCs/>
        </w:rPr>
      </w:pPr>
      <w:r w:rsidRPr="008F1FA8">
        <w:rPr>
          <w:iCs/>
        </w:rPr>
        <w:t xml:space="preserve">Крајњи рок за достављање буџетских захтјева је </w:t>
      </w:r>
      <w:r w:rsidRPr="004C484F">
        <w:rPr>
          <w:b/>
          <w:iCs/>
        </w:rPr>
        <w:t>15.09.20</w:t>
      </w:r>
      <w:r w:rsidR="00A92C69">
        <w:rPr>
          <w:b/>
          <w:iCs/>
        </w:rPr>
        <w:t>2</w:t>
      </w:r>
      <w:r w:rsidR="0023426E">
        <w:rPr>
          <w:b/>
          <w:iCs/>
          <w:lang w:val="en-US"/>
        </w:rPr>
        <w:t>1</w:t>
      </w:r>
      <w:r w:rsidRPr="008F1FA8">
        <w:rPr>
          <w:iCs/>
        </w:rPr>
        <w:t>. године. У случају непоштовања рокова из буџетског календара, предвиђене су санкције по члану 64. в) поменутог Закона.</w:t>
      </w:r>
    </w:p>
    <w:p w:rsidR="001160E2" w:rsidRPr="008F1FA8" w:rsidRDefault="001160E2" w:rsidP="00C91A6F">
      <w:pPr>
        <w:jc w:val="both"/>
        <w:rPr>
          <w:iCs/>
        </w:rPr>
      </w:pPr>
      <w:r w:rsidRPr="008F1FA8">
        <w:rPr>
          <w:iCs/>
        </w:rPr>
        <w:t>За ниже буџетске кориснике који буџетске захтјеве достављају ресорном Одјељењу рок</w:t>
      </w:r>
      <w:r w:rsidR="009A3863">
        <w:rPr>
          <w:iCs/>
        </w:rPr>
        <w:t xml:space="preserve"> </w:t>
      </w:r>
      <w:r w:rsidRPr="008F1FA8">
        <w:rPr>
          <w:iCs/>
        </w:rPr>
        <w:t xml:space="preserve">за доставу је </w:t>
      </w:r>
      <w:r w:rsidR="0023426E">
        <w:rPr>
          <w:iCs/>
        </w:rPr>
        <w:t>08.09.202</w:t>
      </w:r>
      <w:r w:rsidR="0023426E">
        <w:rPr>
          <w:iCs/>
          <w:lang w:val="en-US"/>
        </w:rPr>
        <w:t>1</w:t>
      </w:r>
      <w:r w:rsidRPr="008F1FA8">
        <w:rPr>
          <w:iCs/>
        </w:rPr>
        <w:t xml:space="preserve">. године. </w:t>
      </w:r>
    </w:p>
    <w:p w:rsidR="001160E2" w:rsidRPr="008F1FA8" w:rsidRDefault="001160E2" w:rsidP="00C91A6F">
      <w:pPr>
        <w:jc w:val="both"/>
        <w:rPr>
          <w:iCs/>
        </w:rPr>
      </w:pPr>
      <w:r w:rsidRPr="008F1FA8">
        <w:rPr>
          <w:iCs/>
        </w:rPr>
        <w:t>Буџетски захтјев корисника, који послује као самостални правни субјект, у складу са посебним прописом (Законом о јавним предузећима, Законом о систему јавних служби и др</w:t>
      </w:r>
      <w:r w:rsidR="00797CA7">
        <w:rPr>
          <w:iCs/>
          <w:lang w:val="en-US"/>
        </w:rPr>
        <w:t>.</w:t>
      </w:r>
      <w:r w:rsidRPr="008F1FA8">
        <w:rPr>
          <w:iCs/>
        </w:rPr>
        <w:t>), треба претходно да буде одобрен од стране надлежног органа (Управног одбора и сл</w:t>
      </w:r>
      <w:r w:rsidR="00797CA7">
        <w:rPr>
          <w:iCs/>
          <w:lang w:val="en-US"/>
        </w:rPr>
        <w:t>.</w:t>
      </w:r>
      <w:r w:rsidRPr="008F1FA8">
        <w:rPr>
          <w:iCs/>
        </w:rPr>
        <w:t xml:space="preserve">), у складу са његовим Статутом. </w:t>
      </w:r>
    </w:p>
    <w:p w:rsidR="001160E2" w:rsidRPr="008F1FA8" w:rsidRDefault="001160E2" w:rsidP="00C91A6F">
      <w:pPr>
        <w:jc w:val="both"/>
        <w:rPr>
          <w:iCs/>
          <w:lang w:val="sr-Latn-BA"/>
        </w:rPr>
      </w:pPr>
      <w:r w:rsidRPr="008F1FA8">
        <w:rPr>
          <w:iCs/>
        </w:rPr>
        <w:t xml:space="preserve">Овјерени буџетски захтјеви се достављају </w:t>
      </w:r>
      <w:r w:rsidR="0023426E">
        <w:rPr>
          <w:iCs/>
        </w:rPr>
        <w:t>на протокол зса назнаком за Одјељење</w:t>
      </w:r>
      <w:r w:rsidRPr="008F1FA8">
        <w:rPr>
          <w:iCs/>
        </w:rPr>
        <w:t xml:space="preserve"> за финансије и електронски на маил: </w:t>
      </w:r>
      <w:r w:rsidR="008F1FA8">
        <w:rPr>
          <w:iCs/>
          <w:lang w:val="sr-Latn-BA"/>
        </w:rPr>
        <w:t>finansije</w:t>
      </w:r>
      <w:r w:rsidR="007D0D74">
        <w:rPr>
          <w:iCs/>
          <w:lang w:val="sr-Latn-BA"/>
        </w:rPr>
        <w:t>.</w:t>
      </w:r>
      <w:r w:rsidR="008F1FA8">
        <w:rPr>
          <w:iCs/>
          <w:lang w:val="sr-Latn-BA"/>
        </w:rPr>
        <w:t>nevesinje</w:t>
      </w:r>
      <w:r w:rsidRPr="008F1FA8">
        <w:rPr>
          <w:iCs/>
        </w:rPr>
        <w:t>@</w:t>
      </w:r>
      <w:r w:rsidR="008F1FA8">
        <w:rPr>
          <w:iCs/>
          <w:lang w:val="sr-Latn-BA"/>
        </w:rPr>
        <w:t>gmail.com</w:t>
      </w:r>
    </w:p>
    <w:p w:rsidR="001160E2" w:rsidRPr="008F1FA8" w:rsidRDefault="001160E2" w:rsidP="00C91A6F">
      <w:pPr>
        <w:jc w:val="both"/>
        <w:rPr>
          <w:iCs/>
        </w:rPr>
      </w:pPr>
      <w:r w:rsidRPr="008F1FA8">
        <w:rPr>
          <w:iCs/>
        </w:rPr>
        <w:t>Упутство са прилозима можете преузети са Wеб странице: www.</w:t>
      </w:r>
      <w:r w:rsidR="008F1FA8">
        <w:rPr>
          <w:iCs/>
          <w:lang w:val="sr-Latn-BA"/>
        </w:rPr>
        <w:t>opstinanevesinje.rs.ba</w:t>
      </w:r>
      <w:r w:rsidRPr="008F1FA8">
        <w:rPr>
          <w:iCs/>
        </w:rPr>
        <w:t xml:space="preserve">. </w:t>
      </w:r>
    </w:p>
    <w:p w:rsidR="00DF6FDB" w:rsidRDefault="001160E2" w:rsidP="00C91A6F">
      <w:pPr>
        <w:jc w:val="both"/>
        <w:rPr>
          <w:iCs/>
          <w:lang w:val="en-US"/>
        </w:rPr>
      </w:pPr>
      <w:r w:rsidRPr="008F1FA8">
        <w:rPr>
          <w:iCs/>
        </w:rPr>
        <w:t>За све додатне информације можете се обратити на телефон 05</w:t>
      </w:r>
      <w:r w:rsidR="00356460">
        <w:rPr>
          <w:iCs/>
          <w:lang w:val="sr-Latn-BA"/>
        </w:rPr>
        <w:t>9</w:t>
      </w:r>
      <w:r w:rsidRPr="008F1FA8">
        <w:rPr>
          <w:iCs/>
        </w:rPr>
        <w:t>/</w:t>
      </w:r>
      <w:r w:rsidR="00356460">
        <w:rPr>
          <w:iCs/>
          <w:lang w:val="sr-Latn-BA"/>
        </w:rPr>
        <w:t>602-018</w:t>
      </w:r>
      <w:r w:rsidRPr="008F1FA8">
        <w:rPr>
          <w:iCs/>
        </w:rPr>
        <w:t xml:space="preserve"> (</w:t>
      </w:r>
      <w:r w:rsidR="00356460">
        <w:rPr>
          <w:iCs/>
        </w:rPr>
        <w:t>Зорка Умићевић</w:t>
      </w:r>
      <w:r w:rsidRPr="008F1FA8">
        <w:rPr>
          <w:iCs/>
        </w:rPr>
        <w:t>, Начелник одјељења за финансије)</w:t>
      </w:r>
    </w:p>
    <w:p w:rsidR="00C21B34" w:rsidRPr="00C21B34" w:rsidRDefault="00C21B34" w:rsidP="00C91A6F">
      <w:pPr>
        <w:jc w:val="both"/>
        <w:rPr>
          <w:iCs/>
          <w:lang w:val="en-US"/>
        </w:rPr>
      </w:pPr>
    </w:p>
    <w:p w:rsidR="00FE6265" w:rsidRPr="00C21B34" w:rsidRDefault="00FE6265" w:rsidP="00C91A6F">
      <w:pPr>
        <w:jc w:val="both"/>
        <w:rPr>
          <w:b/>
          <w:iCs/>
          <w:lang w:val="en-US"/>
        </w:rPr>
      </w:pPr>
      <w:r w:rsidRPr="00FE6265">
        <w:rPr>
          <w:b/>
          <w:iCs/>
        </w:rPr>
        <w:t xml:space="preserve">ВАЖНА </w:t>
      </w:r>
      <w:r w:rsidR="00E81A8F" w:rsidRPr="00FE6265">
        <w:rPr>
          <w:b/>
          <w:iCs/>
        </w:rPr>
        <w:t>НАПОМЕНА:</w:t>
      </w:r>
    </w:p>
    <w:p w:rsidR="00415D36" w:rsidRPr="00895CB3" w:rsidRDefault="00E81A8F" w:rsidP="00C91A6F">
      <w:pPr>
        <w:jc w:val="both"/>
        <w:rPr>
          <w:b/>
          <w:iCs/>
        </w:rPr>
      </w:pPr>
      <w:r w:rsidRPr="00FE6265">
        <w:rPr>
          <w:b/>
          <w:iCs/>
        </w:rPr>
        <w:t xml:space="preserve"> Овим путем желимо посебно нагласити да сте </w:t>
      </w:r>
      <w:r w:rsidR="00A9100E">
        <w:rPr>
          <w:b/>
          <w:iCs/>
        </w:rPr>
        <w:t xml:space="preserve">захтјев </w:t>
      </w:r>
      <w:r w:rsidRPr="00FE6265">
        <w:rPr>
          <w:b/>
          <w:iCs/>
        </w:rPr>
        <w:t xml:space="preserve">обавезни </w:t>
      </w:r>
      <w:r w:rsidR="003974D5">
        <w:rPr>
          <w:b/>
          <w:iCs/>
          <w:u w:val="single"/>
        </w:rPr>
        <w:t xml:space="preserve"> </w:t>
      </w:r>
      <w:r w:rsidRPr="00FE6265">
        <w:rPr>
          <w:b/>
          <w:iCs/>
        </w:rPr>
        <w:t>дост</w:t>
      </w:r>
      <w:r w:rsidR="00FE6265" w:rsidRPr="00FE6265">
        <w:rPr>
          <w:b/>
          <w:iCs/>
        </w:rPr>
        <w:t>авити у тачно наведеној форми</w:t>
      </w:r>
      <w:r w:rsidR="00F170FF">
        <w:rPr>
          <w:b/>
          <w:iCs/>
          <w:lang w:val="sr-Latn-BA"/>
        </w:rPr>
        <w:t>,</w:t>
      </w:r>
      <w:r w:rsidR="0020332B">
        <w:rPr>
          <w:b/>
          <w:iCs/>
        </w:rPr>
        <w:t xml:space="preserve"> </w:t>
      </w:r>
      <w:r w:rsidR="00F170FF">
        <w:rPr>
          <w:b/>
          <w:iCs/>
        </w:rPr>
        <w:t xml:space="preserve">као и </w:t>
      </w:r>
      <w:r w:rsidR="00F170FF" w:rsidRPr="00F170FF">
        <w:rPr>
          <w:b/>
          <w:iCs/>
          <w:u w:val="single"/>
        </w:rPr>
        <w:t>образложење</w:t>
      </w:r>
      <w:r w:rsidR="00F170FF">
        <w:rPr>
          <w:b/>
          <w:iCs/>
        </w:rPr>
        <w:t xml:space="preserve"> које треба да буде усмјерено,прије свега, на резултате који ће се постићи реализацијом одређених,</w:t>
      </w:r>
      <w:r w:rsidR="0020332B">
        <w:rPr>
          <w:b/>
          <w:iCs/>
        </w:rPr>
        <w:t xml:space="preserve"> </w:t>
      </w:r>
      <w:r w:rsidR="00F170FF">
        <w:rPr>
          <w:b/>
          <w:iCs/>
        </w:rPr>
        <w:t>дефинисаних активности из средстава гранта</w:t>
      </w:r>
      <w:r w:rsidR="00FE6265" w:rsidRPr="00FE6265">
        <w:rPr>
          <w:b/>
          <w:iCs/>
        </w:rPr>
        <w:t xml:space="preserve">. </w:t>
      </w:r>
      <w:r w:rsidR="00895CB3">
        <w:rPr>
          <w:b/>
          <w:iCs/>
        </w:rPr>
        <w:t>У буџету требате описат</w:t>
      </w:r>
      <w:r w:rsidR="0029304D">
        <w:rPr>
          <w:b/>
          <w:iCs/>
        </w:rPr>
        <w:t>и</w:t>
      </w:r>
      <w:r w:rsidR="00895CB3">
        <w:rPr>
          <w:b/>
          <w:iCs/>
        </w:rPr>
        <w:t xml:space="preserve"> све активности које планирате, као и износ средстава потре</w:t>
      </w:r>
      <w:r w:rsidR="00A9100E">
        <w:rPr>
          <w:b/>
          <w:iCs/>
        </w:rPr>
        <w:t>бних за обављање тих активности-Прилог 1.</w:t>
      </w:r>
    </w:p>
    <w:p w:rsidR="00631EB5" w:rsidRPr="004B7FB0" w:rsidRDefault="00FE6265" w:rsidP="00A9100E">
      <w:pPr>
        <w:jc w:val="both"/>
        <w:rPr>
          <w:b/>
          <w:iCs/>
          <w:sz w:val="32"/>
          <w:szCs w:val="32"/>
          <w:u w:val="single"/>
          <w:lang w:val="en-US"/>
        </w:rPr>
      </w:pPr>
      <w:r w:rsidRPr="00FE6265">
        <w:rPr>
          <w:b/>
          <w:iCs/>
        </w:rPr>
        <w:t>П</w:t>
      </w:r>
      <w:r w:rsidR="00E81A8F" w:rsidRPr="00FE6265">
        <w:rPr>
          <w:b/>
          <w:iCs/>
        </w:rPr>
        <w:t>ра</w:t>
      </w:r>
      <w:r w:rsidRPr="00FE6265">
        <w:rPr>
          <w:b/>
          <w:iCs/>
        </w:rPr>
        <w:t>вдања новчани</w:t>
      </w:r>
      <w:r w:rsidR="00A9100E">
        <w:rPr>
          <w:b/>
          <w:iCs/>
        </w:rPr>
        <w:t xml:space="preserve">х средстава за претходну годину </w:t>
      </w:r>
      <w:r w:rsidRPr="00FE6265">
        <w:rPr>
          <w:b/>
          <w:iCs/>
        </w:rPr>
        <w:t>достављати</w:t>
      </w:r>
      <w:r w:rsidR="00E81A8F" w:rsidRPr="00FE6265">
        <w:rPr>
          <w:b/>
          <w:iCs/>
        </w:rPr>
        <w:t xml:space="preserve"> на </w:t>
      </w:r>
      <w:r w:rsidR="00E81A8F" w:rsidRPr="009722A5">
        <w:rPr>
          <w:b/>
          <w:iCs/>
          <w:u w:val="single"/>
        </w:rPr>
        <w:t>прописаним</w:t>
      </w:r>
      <w:r w:rsidR="00E81A8F" w:rsidRPr="00FE6265">
        <w:rPr>
          <w:b/>
          <w:iCs/>
        </w:rPr>
        <w:t xml:space="preserve"> </w:t>
      </w:r>
      <w:r w:rsidR="00A9100E">
        <w:rPr>
          <w:b/>
          <w:iCs/>
          <w:u w:val="single"/>
        </w:rPr>
        <w:t>обрасцим</w:t>
      </w:r>
      <w:r w:rsidR="00A9100E" w:rsidRPr="0020332B">
        <w:rPr>
          <w:b/>
          <w:iCs/>
        </w:rPr>
        <w:t>(Прилог2)</w:t>
      </w:r>
      <w:r w:rsidR="009722A5" w:rsidRPr="0020332B">
        <w:rPr>
          <w:b/>
          <w:iCs/>
        </w:rPr>
        <w:t>,</w:t>
      </w:r>
      <w:r w:rsidR="0020332B">
        <w:rPr>
          <w:b/>
          <w:iCs/>
        </w:rPr>
        <w:t xml:space="preserve"> </w:t>
      </w:r>
      <w:r w:rsidR="00592C41">
        <w:rPr>
          <w:b/>
          <w:iCs/>
        </w:rPr>
        <w:t>комплетн</w:t>
      </w:r>
      <w:r w:rsidR="00631EB5">
        <w:rPr>
          <w:b/>
          <w:iCs/>
        </w:rPr>
        <w:t>у</w:t>
      </w:r>
      <w:r w:rsidR="0029304D">
        <w:rPr>
          <w:b/>
          <w:iCs/>
        </w:rPr>
        <w:t xml:space="preserve"> </w:t>
      </w:r>
      <w:r w:rsidR="00A9100E">
        <w:rPr>
          <w:b/>
          <w:iCs/>
        </w:rPr>
        <w:t>д</w:t>
      </w:r>
      <w:r w:rsidR="00592C41">
        <w:rPr>
          <w:b/>
          <w:iCs/>
        </w:rPr>
        <w:t>окументацију</w:t>
      </w:r>
      <w:r w:rsidR="0029304D">
        <w:rPr>
          <w:b/>
          <w:iCs/>
        </w:rPr>
        <w:t xml:space="preserve"> </w:t>
      </w:r>
      <w:r w:rsidR="00592C41">
        <w:rPr>
          <w:b/>
          <w:iCs/>
        </w:rPr>
        <w:t>(</w:t>
      </w:r>
      <w:r w:rsidR="00A9100E">
        <w:rPr>
          <w:b/>
          <w:iCs/>
        </w:rPr>
        <w:t>рачуне,</w:t>
      </w:r>
      <w:r w:rsidR="0020332B">
        <w:rPr>
          <w:b/>
          <w:iCs/>
        </w:rPr>
        <w:t xml:space="preserve"> </w:t>
      </w:r>
      <w:r w:rsidR="00A9100E">
        <w:rPr>
          <w:b/>
          <w:iCs/>
        </w:rPr>
        <w:t>одлуке,</w:t>
      </w:r>
      <w:r w:rsidR="0020332B">
        <w:rPr>
          <w:b/>
          <w:iCs/>
        </w:rPr>
        <w:t xml:space="preserve"> </w:t>
      </w:r>
      <w:r w:rsidR="00592C41">
        <w:rPr>
          <w:b/>
          <w:iCs/>
        </w:rPr>
        <w:t>изводе,</w:t>
      </w:r>
      <w:r w:rsidR="0020332B">
        <w:rPr>
          <w:b/>
          <w:iCs/>
        </w:rPr>
        <w:t xml:space="preserve"> </w:t>
      </w:r>
      <w:r w:rsidR="00592C41">
        <w:rPr>
          <w:b/>
          <w:iCs/>
        </w:rPr>
        <w:t>уплатнице,</w:t>
      </w:r>
      <w:r w:rsidR="0020332B">
        <w:rPr>
          <w:b/>
          <w:iCs/>
        </w:rPr>
        <w:t xml:space="preserve"> </w:t>
      </w:r>
      <w:r w:rsidR="00592C41">
        <w:rPr>
          <w:b/>
          <w:iCs/>
        </w:rPr>
        <w:t>бла</w:t>
      </w:r>
      <w:r w:rsidR="00931318">
        <w:rPr>
          <w:b/>
          <w:iCs/>
        </w:rPr>
        <w:t>г</w:t>
      </w:r>
      <w:r w:rsidR="00592C41">
        <w:rPr>
          <w:b/>
          <w:iCs/>
        </w:rPr>
        <w:t>јничке дневнике,</w:t>
      </w:r>
      <w:r w:rsidR="0020332B">
        <w:rPr>
          <w:b/>
          <w:iCs/>
        </w:rPr>
        <w:t xml:space="preserve"> </w:t>
      </w:r>
      <w:r w:rsidR="00592C41">
        <w:rPr>
          <w:b/>
          <w:iCs/>
        </w:rPr>
        <w:t xml:space="preserve">издатке и </w:t>
      </w:r>
      <w:r w:rsidR="00A9100E">
        <w:rPr>
          <w:b/>
          <w:iCs/>
        </w:rPr>
        <w:t>извод из банке којим се доказује да преостала средства нису утрошена</w:t>
      </w:r>
      <w:r w:rsidR="00592C41">
        <w:rPr>
          <w:b/>
          <w:iCs/>
        </w:rPr>
        <w:t>)</w:t>
      </w:r>
      <w:r w:rsidR="00A9100E">
        <w:rPr>
          <w:b/>
          <w:iCs/>
        </w:rPr>
        <w:t xml:space="preserve"> најкасније до </w:t>
      </w:r>
      <w:r w:rsidR="00A9100E" w:rsidRPr="00631EB5">
        <w:rPr>
          <w:b/>
          <w:iCs/>
          <w:u w:val="single"/>
        </w:rPr>
        <w:t>28.02.наредне године</w:t>
      </w:r>
      <w:r w:rsidR="00A9100E">
        <w:rPr>
          <w:b/>
          <w:iCs/>
        </w:rPr>
        <w:t>.</w:t>
      </w:r>
      <w:r w:rsidR="0020332B">
        <w:rPr>
          <w:b/>
          <w:iCs/>
        </w:rPr>
        <w:t xml:space="preserve"> </w:t>
      </w:r>
      <w:r w:rsidRPr="00FE6265">
        <w:rPr>
          <w:b/>
          <w:iCs/>
        </w:rPr>
        <w:t>Р</w:t>
      </w:r>
      <w:r w:rsidR="00E81A8F" w:rsidRPr="00FE6265">
        <w:rPr>
          <w:b/>
          <w:iCs/>
        </w:rPr>
        <w:t>ачуне на</w:t>
      </w:r>
      <w:r w:rsidR="00592C41">
        <w:rPr>
          <w:b/>
          <w:iCs/>
        </w:rPr>
        <w:t xml:space="preserve"> вријеме копирати како вам </w:t>
      </w:r>
      <w:r w:rsidRPr="00FE6265">
        <w:rPr>
          <w:b/>
          <w:iCs/>
        </w:rPr>
        <w:t xml:space="preserve">документацију </w:t>
      </w:r>
      <w:r w:rsidR="00592C41">
        <w:rPr>
          <w:b/>
          <w:iCs/>
        </w:rPr>
        <w:t xml:space="preserve">не би </w:t>
      </w:r>
      <w:r w:rsidRPr="00FE6265">
        <w:rPr>
          <w:b/>
          <w:iCs/>
        </w:rPr>
        <w:t>вратили</w:t>
      </w:r>
      <w:r w:rsidR="007D0722">
        <w:rPr>
          <w:b/>
          <w:iCs/>
        </w:rPr>
        <w:t xml:space="preserve"> </w:t>
      </w:r>
      <w:r w:rsidR="0029304D">
        <w:rPr>
          <w:b/>
          <w:iCs/>
        </w:rPr>
        <w:t>као неважећу</w:t>
      </w:r>
      <w:r w:rsidRPr="00FE6265">
        <w:rPr>
          <w:b/>
          <w:iCs/>
        </w:rPr>
        <w:t>.</w:t>
      </w:r>
      <w:r w:rsidR="009722A5" w:rsidRPr="004B7FB0">
        <w:rPr>
          <w:b/>
          <w:iCs/>
          <w:sz w:val="32"/>
          <w:szCs w:val="32"/>
          <w:u w:val="single"/>
        </w:rPr>
        <w:t>У случају неиспуњавањ</w:t>
      </w:r>
      <w:r w:rsidR="00631EB5" w:rsidRPr="004B7FB0">
        <w:rPr>
          <w:b/>
          <w:iCs/>
          <w:sz w:val="32"/>
          <w:szCs w:val="32"/>
          <w:u w:val="single"/>
        </w:rPr>
        <w:t>а</w:t>
      </w:r>
      <w:r w:rsidR="009722A5" w:rsidRPr="004B7FB0">
        <w:rPr>
          <w:b/>
          <w:iCs/>
          <w:sz w:val="32"/>
          <w:szCs w:val="32"/>
          <w:u w:val="single"/>
        </w:rPr>
        <w:t xml:space="preserve"> овог услова корисник с</w:t>
      </w:r>
      <w:r w:rsidR="00A9100E" w:rsidRPr="004B7FB0">
        <w:rPr>
          <w:b/>
          <w:iCs/>
          <w:sz w:val="32"/>
          <w:szCs w:val="32"/>
          <w:u w:val="single"/>
        </w:rPr>
        <w:t xml:space="preserve">редстава губи право на додјелу средстава </w:t>
      </w:r>
      <w:r w:rsidR="00FC34A7" w:rsidRPr="004B7FB0">
        <w:rPr>
          <w:b/>
          <w:iCs/>
          <w:sz w:val="32"/>
          <w:szCs w:val="32"/>
          <w:u w:val="single"/>
        </w:rPr>
        <w:t xml:space="preserve">гранта </w:t>
      </w:r>
      <w:r w:rsidR="00A9100E" w:rsidRPr="004B7FB0">
        <w:rPr>
          <w:b/>
          <w:iCs/>
          <w:sz w:val="32"/>
          <w:szCs w:val="32"/>
          <w:u w:val="single"/>
        </w:rPr>
        <w:t>у наредној години.</w:t>
      </w:r>
    </w:p>
    <w:p w:rsidR="00631EB5" w:rsidRDefault="00631EB5" w:rsidP="00C91A6F">
      <w:pPr>
        <w:jc w:val="both"/>
        <w:rPr>
          <w:iCs/>
        </w:rPr>
      </w:pPr>
    </w:p>
    <w:p w:rsidR="001160E2" w:rsidRPr="004B7FB0" w:rsidRDefault="00FE6265" w:rsidP="00C91A6F">
      <w:pPr>
        <w:jc w:val="both"/>
        <w:rPr>
          <w:iCs/>
          <w:lang w:val="en-US"/>
        </w:rPr>
      </w:pPr>
      <w:r>
        <w:rPr>
          <w:iCs/>
        </w:rPr>
        <w:t>С</w:t>
      </w:r>
      <w:r w:rsidR="001160E2" w:rsidRPr="008F1FA8">
        <w:rPr>
          <w:iCs/>
        </w:rPr>
        <w:t xml:space="preserve"> поштовањем,</w:t>
      </w:r>
      <w:r w:rsidR="00631EB5">
        <w:rPr>
          <w:iCs/>
        </w:rPr>
        <w:t xml:space="preserve">                                                                          </w:t>
      </w:r>
      <w:r w:rsidR="001160E2" w:rsidRPr="00FE7F9C">
        <w:rPr>
          <w:b/>
          <w:iCs/>
        </w:rPr>
        <w:t>НАЧЕЛНИК ОДЈЕЉЕЊА</w:t>
      </w:r>
    </w:p>
    <w:p w:rsidR="00DF6FDB" w:rsidRPr="00C21B34" w:rsidRDefault="00631EB5" w:rsidP="00C91A6F">
      <w:pPr>
        <w:jc w:val="both"/>
        <w:rPr>
          <w:b/>
          <w:i/>
          <w:iCs/>
          <w:lang w:val="en-US"/>
        </w:rPr>
      </w:pPr>
      <w:r>
        <w:rPr>
          <w:b/>
          <w:i/>
          <w:iCs/>
        </w:rPr>
        <w:t xml:space="preserve">                                                                                                  </w:t>
      </w:r>
      <w:r w:rsidR="0023426E">
        <w:rPr>
          <w:b/>
          <w:i/>
          <w:iCs/>
        </w:rPr>
        <w:t xml:space="preserve">            Сања Брењо</w:t>
      </w:r>
    </w:p>
    <w:p w:rsidR="00DF6FDB" w:rsidRDefault="001160E2" w:rsidP="00C91A6F">
      <w:pPr>
        <w:jc w:val="both"/>
        <w:rPr>
          <w:iCs/>
          <w:lang w:val="en-US"/>
        </w:rPr>
      </w:pPr>
      <w:r w:rsidRPr="00FE7F9C">
        <w:rPr>
          <w:b/>
          <w:iCs/>
        </w:rPr>
        <w:t>П р и л о г:</w:t>
      </w:r>
      <w:r w:rsidRPr="008F1FA8">
        <w:rPr>
          <w:iCs/>
        </w:rPr>
        <w:t xml:space="preserve"> </w:t>
      </w:r>
    </w:p>
    <w:p w:rsidR="001160E2" w:rsidRPr="00DF6FDB" w:rsidRDefault="001160E2" w:rsidP="00C91A6F">
      <w:pPr>
        <w:pStyle w:val="ListParagraph"/>
        <w:numPr>
          <w:ilvl w:val="0"/>
          <w:numId w:val="18"/>
        </w:numPr>
        <w:jc w:val="both"/>
        <w:rPr>
          <w:iCs/>
          <w:lang w:val="en-US"/>
        </w:rPr>
      </w:pPr>
      <w:r w:rsidRPr="00DF6FDB">
        <w:rPr>
          <w:iCs/>
        </w:rPr>
        <w:t>Упутство за припрему буџета</w:t>
      </w:r>
      <w:r w:rsidR="00DF6FDB">
        <w:rPr>
          <w:iCs/>
        </w:rPr>
        <w:t xml:space="preserve"> </w:t>
      </w:r>
      <w:r w:rsidRPr="00DF6FDB">
        <w:rPr>
          <w:iCs/>
        </w:rPr>
        <w:t xml:space="preserve">општине </w:t>
      </w:r>
      <w:r w:rsidR="00601C0C" w:rsidRPr="00DF6FDB">
        <w:rPr>
          <w:iCs/>
        </w:rPr>
        <w:t>Невесиње</w:t>
      </w:r>
      <w:r w:rsidR="00FC34A7">
        <w:rPr>
          <w:iCs/>
        </w:rPr>
        <w:t xml:space="preserve"> за 202</w:t>
      </w:r>
      <w:r w:rsidR="0023426E">
        <w:rPr>
          <w:iCs/>
          <w:lang w:val="sr-Cyrl-BA"/>
        </w:rPr>
        <w:t>2</w:t>
      </w:r>
      <w:r w:rsidRPr="00DF6FDB">
        <w:rPr>
          <w:iCs/>
        </w:rPr>
        <w:t>. г</w:t>
      </w:r>
      <w:r w:rsidR="00FE7F9C" w:rsidRPr="00DF6FDB">
        <w:rPr>
          <w:iCs/>
        </w:rPr>
        <w:t>одину</w:t>
      </w:r>
      <w:r w:rsidRPr="00DF6FDB">
        <w:rPr>
          <w:iCs/>
        </w:rPr>
        <w:t>.</w:t>
      </w:r>
    </w:p>
    <w:p w:rsidR="00DF6FDB" w:rsidRPr="00DF6FDB" w:rsidRDefault="00DF6FDB" w:rsidP="00C91A6F">
      <w:pPr>
        <w:pStyle w:val="ListParagraph"/>
        <w:numPr>
          <w:ilvl w:val="0"/>
          <w:numId w:val="18"/>
        </w:numPr>
        <w:jc w:val="both"/>
        <w:rPr>
          <w:iCs/>
          <w:lang w:val="en-US"/>
        </w:rPr>
      </w:pPr>
      <w:r>
        <w:rPr>
          <w:iCs/>
          <w:lang w:val="sr-Cyrl-BA"/>
        </w:rPr>
        <w:t>Прилог 1</w:t>
      </w:r>
    </w:p>
    <w:p w:rsidR="00DF6FDB" w:rsidRPr="00DF6FDB" w:rsidRDefault="00DF6FDB" w:rsidP="00C91A6F">
      <w:pPr>
        <w:pStyle w:val="ListParagraph"/>
        <w:numPr>
          <w:ilvl w:val="0"/>
          <w:numId w:val="18"/>
        </w:numPr>
        <w:jc w:val="both"/>
        <w:rPr>
          <w:iCs/>
          <w:lang w:val="en-US"/>
        </w:rPr>
      </w:pPr>
      <w:r>
        <w:rPr>
          <w:iCs/>
          <w:lang w:val="sr-Cyrl-BA"/>
        </w:rPr>
        <w:t>Прилог 2</w:t>
      </w:r>
    </w:p>
    <w:p w:rsidR="00601C0C" w:rsidRPr="004B7FB0" w:rsidRDefault="00601C0C" w:rsidP="00C91A6F">
      <w:pPr>
        <w:jc w:val="both"/>
        <w:rPr>
          <w:iCs/>
          <w:lang w:val="en-US"/>
        </w:rPr>
      </w:pPr>
    </w:p>
    <w:p w:rsidR="007D0D74" w:rsidRPr="007D0D74" w:rsidRDefault="007D0D74" w:rsidP="00C91A6F">
      <w:pPr>
        <w:jc w:val="both"/>
        <w:rPr>
          <w:iCs/>
          <w:lang w:val="sr-Latn-BA"/>
        </w:rPr>
      </w:pPr>
    </w:p>
    <w:p w:rsidR="001160E2" w:rsidRPr="008F1FA8" w:rsidRDefault="001160E2" w:rsidP="00C91A6F">
      <w:pPr>
        <w:jc w:val="both"/>
        <w:rPr>
          <w:iCs/>
        </w:rPr>
      </w:pPr>
      <w:r w:rsidRPr="008F1FA8">
        <w:rPr>
          <w:iCs/>
        </w:rPr>
        <w:t xml:space="preserve">На основу члана 29. Закона о буџетском систему Републике Српске („Службени гласник Републике Српске“, број 121/12, 52/14, 103/15 и 15/16), Одјељење за финансије даје буџетским корисницима општине </w:t>
      </w:r>
      <w:r w:rsidR="00601C0C">
        <w:rPr>
          <w:iCs/>
        </w:rPr>
        <w:t>Невесиње</w:t>
      </w:r>
    </w:p>
    <w:p w:rsidR="001160E2" w:rsidRPr="000A27D9" w:rsidRDefault="001160E2" w:rsidP="00C91A6F">
      <w:pPr>
        <w:jc w:val="both"/>
        <w:rPr>
          <w:b/>
          <w:iCs/>
        </w:rPr>
      </w:pPr>
    </w:p>
    <w:p w:rsidR="001160E2" w:rsidRPr="000A27D9" w:rsidRDefault="001160E2" w:rsidP="00601C0C">
      <w:pPr>
        <w:jc w:val="center"/>
        <w:rPr>
          <w:b/>
          <w:iCs/>
        </w:rPr>
      </w:pPr>
      <w:r w:rsidRPr="000A27D9">
        <w:rPr>
          <w:b/>
          <w:iCs/>
        </w:rPr>
        <w:t>У П У Т С Т В О</w:t>
      </w:r>
    </w:p>
    <w:p w:rsidR="001160E2" w:rsidRPr="000A27D9" w:rsidRDefault="001160E2" w:rsidP="00601C0C">
      <w:pPr>
        <w:jc w:val="center"/>
        <w:rPr>
          <w:b/>
          <w:iCs/>
        </w:rPr>
      </w:pPr>
      <w:r w:rsidRPr="000A27D9">
        <w:rPr>
          <w:b/>
          <w:iCs/>
        </w:rPr>
        <w:t xml:space="preserve">ЗА ПРИПРЕМУ БУЏЕТА ОПШТИНЕ </w:t>
      </w:r>
      <w:r w:rsidR="000A27D9">
        <w:rPr>
          <w:b/>
          <w:iCs/>
        </w:rPr>
        <w:t>НЕВЕСИЊЕ</w:t>
      </w:r>
      <w:r w:rsidR="0023426E">
        <w:rPr>
          <w:b/>
          <w:iCs/>
        </w:rPr>
        <w:t xml:space="preserve"> ЗА 2022</w:t>
      </w:r>
      <w:r w:rsidRPr="000A27D9">
        <w:rPr>
          <w:b/>
          <w:iCs/>
        </w:rPr>
        <w:t>. ГОДИНУ</w:t>
      </w:r>
    </w:p>
    <w:p w:rsidR="00601C0C" w:rsidRPr="000A27D9" w:rsidRDefault="00601C0C" w:rsidP="00601C0C">
      <w:pPr>
        <w:jc w:val="center"/>
        <w:rPr>
          <w:b/>
          <w:iCs/>
        </w:rPr>
      </w:pPr>
    </w:p>
    <w:p w:rsidR="001160E2" w:rsidRPr="00601C0C" w:rsidRDefault="001160E2" w:rsidP="00601C0C">
      <w:pPr>
        <w:pStyle w:val="ListParagraph"/>
        <w:numPr>
          <w:ilvl w:val="0"/>
          <w:numId w:val="15"/>
        </w:numPr>
        <w:rPr>
          <w:b/>
          <w:iCs/>
        </w:rPr>
      </w:pPr>
      <w:r w:rsidRPr="00601C0C">
        <w:rPr>
          <w:b/>
          <w:iCs/>
        </w:rPr>
        <w:t>Уводне напомене</w:t>
      </w:r>
    </w:p>
    <w:p w:rsidR="00601C0C" w:rsidRPr="00601C0C" w:rsidRDefault="00601C0C" w:rsidP="00601C0C">
      <w:pPr>
        <w:pStyle w:val="ListParagraph"/>
        <w:ind w:left="1065"/>
        <w:rPr>
          <w:b/>
          <w:iCs/>
        </w:rPr>
      </w:pPr>
    </w:p>
    <w:p w:rsidR="001160E2" w:rsidRPr="00601C0C" w:rsidRDefault="001160E2" w:rsidP="00601C0C">
      <w:pPr>
        <w:jc w:val="both"/>
        <w:rPr>
          <w:iCs/>
        </w:rPr>
      </w:pPr>
      <w:r w:rsidRPr="00601C0C">
        <w:rPr>
          <w:iCs/>
        </w:rPr>
        <w:t>Овим Упутством се, у складу са Законом о буџетском систему Републике Српске, буџетским корисницима дају смјернице, оквири и роко</w:t>
      </w:r>
      <w:r w:rsidR="00FC34A7">
        <w:rPr>
          <w:iCs/>
        </w:rPr>
        <w:t>ви за припрему и израду буџета О</w:t>
      </w:r>
      <w:r w:rsidRPr="00601C0C">
        <w:rPr>
          <w:iCs/>
        </w:rPr>
        <w:t xml:space="preserve">пштине </w:t>
      </w:r>
      <w:r w:rsidR="00601C0C">
        <w:rPr>
          <w:iCs/>
        </w:rPr>
        <w:t>Невесиње</w:t>
      </w:r>
      <w:r w:rsidR="0023426E">
        <w:rPr>
          <w:iCs/>
        </w:rPr>
        <w:t xml:space="preserve"> за 2022</w:t>
      </w:r>
      <w:r w:rsidRPr="00601C0C">
        <w:rPr>
          <w:iCs/>
        </w:rPr>
        <w:t xml:space="preserve">. годину. </w:t>
      </w:r>
    </w:p>
    <w:p w:rsidR="001160E2" w:rsidRDefault="001160E2" w:rsidP="00601C0C">
      <w:pPr>
        <w:jc w:val="both"/>
        <w:rPr>
          <w:iCs/>
        </w:rPr>
      </w:pPr>
      <w:r w:rsidRPr="00601C0C">
        <w:rPr>
          <w:iCs/>
        </w:rPr>
        <w:t xml:space="preserve">Процјеном буџетских средстава и издатака за наредну фискалну годину треба да се обезбиједи ефикасно и ефективно финансирање приоритетних програма, услуга и активности којима се испуњавају социјалне и економске потребе грађана општине </w:t>
      </w:r>
      <w:r w:rsidR="00601C0C">
        <w:rPr>
          <w:iCs/>
        </w:rPr>
        <w:t>Невесиње</w:t>
      </w:r>
      <w:r w:rsidRPr="00601C0C">
        <w:rPr>
          <w:iCs/>
        </w:rPr>
        <w:t xml:space="preserve">. С обзиром на несклад потреба и средстава неопходно је да </w:t>
      </w:r>
      <w:r w:rsidR="006C118C">
        <w:rPr>
          <w:iCs/>
        </w:rPr>
        <w:t>с</w:t>
      </w:r>
      <w:r w:rsidR="0023426E">
        <w:rPr>
          <w:iCs/>
        </w:rPr>
        <w:t>е приликом израде буџета за 2022</w:t>
      </w:r>
      <w:r w:rsidRPr="00601C0C">
        <w:rPr>
          <w:iCs/>
        </w:rPr>
        <w:t>. годину респектују дате смјернице и ограничења, при чему полазну основу за финансијско планирање на годишњем нивоу чине елементи дугорочног плана, утврђе</w:t>
      </w:r>
      <w:r w:rsidR="00922203">
        <w:rPr>
          <w:iCs/>
        </w:rPr>
        <w:t xml:space="preserve">ни на нивоу Републике Српске и </w:t>
      </w:r>
      <w:r w:rsidR="00922203">
        <w:rPr>
          <w:iCs/>
          <w:lang w:val="en-US"/>
        </w:rPr>
        <w:t>O</w:t>
      </w:r>
      <w:r w:rsidRPr="00601C0C">
        <w:rPr>
          <w:iCs/>
        </w:rPr>
        <w:t xml:space="preserve">пштине </w:t>
      </w:r>
      <w:r w:rsidR="00601C0C">
        <w:rPr>
          <w:iCs/>
        </w:rPr>
        <w:t>Невесиње</w:t>
      </w:r>
      <w:r w:rsidRPr="00601C0C">
        <w:rPr>
          <w:iCs/>
        </w:rPr>
        <w:t>.</w:t>
      </w:r>
    </w:p>
    <w:p w:rsidR="001160E2" w:rsidRDefault="001160E2" w:rsidP="00601C0C">
      <w:pPr>
        <w:jc w:val="both"/>
        <w:rPr>
          <w:iCs/>
        </w:rPr>
      </w:pPr>
      <w:r w:rsidRPr="00601C0C">
        <w:rPr>
          <w:iCs/>
        </w:rPr>
        <w:t>Поступци и рокови за припрему буџета прописани су Законом о буџетском систему РС.</w:t>
      </w:r>
    </w:p>
    <w:p w:rsidR="00601C0C" w:rsidRPr="00601C0C" w:rsidRDefault="00601C0C" w:rsidP="00601C0C">
      <w:pPr>
        <w:jc w:val="both"/>
        <w:rPr>
          <w:iCs/>
        </w:rPr>
      </w:pPr>
    </w:p>
    <w:p w:rsidR="001160E2" w:rsidRPr="00601C0C" w:rsidRDefault="001160E2" w:rsidP="00601C0C">
      <w:pPr>
        <w:pStyle w:val="ListParagraph"/>
        <w:numPr>
          <w:ilvl w:val="0"/>
          <w:numId w:val="15"/>
        </w:numPr>
        <w:jc w:val="both"/>
        <w:rPr>
          <w:b/>
          <w:iCs/>
        </w:rPr>
      </w:pPr>
      <w:r w:rsidRPr="00601C0C">
        <w:rPr>
          <w:b/>
          <w:iCs/>
        </w:rPr>
        <w:t>Основне економске претпоставке и смјернице за припрему буџета</w:t>
      </w:r>
    </w:p>
    <w:p w:rsidR="00601C0C" w:rsidRPr="00601C0C" w:rsidRDefault="00601C0C" w:rsidP="000A27D9">
      <w:pPr>
        <w:pStyle w:val="ListParagraph"/>
        <w:ind w:left="1065"/>
        <w:jc w:val="both"/>
        <w:rPr>
          <w:b/>
          <w:iCs/>
        </w:rPr>
      </w:pPr>
    </w:p>
    <w:p w:rsidR="001160E2" w:rsidRPr="00601C0C" w:rsidRDefault="001160E2" w:rsidP="00601C0C">
      <w:pPr>
        <w:jc w:val="both"/>
        <w:rPr>
          <w:iCs/>
        </w:rPr>
      </w:pPr>
      <w:r w:rsidRPr="00601C0C">
        <w:rPr>
          <w:iCs/>
        </w:rPr>
        <w:t xml:space="preserve">Полазну </w:t>
      </w:r>
      <w:r w:rsidR="006C118C">
        <w:rPr>
          <w:iCs/>
        </w:rPr>
        <w:t>о</w:t>
      </w:r>
      <w:r w:rsidR="00FC34A7">
        <w:rPr>
          <w:iCs/>
        </w:rPr>
        <w:t>снову за припрему буџета за</w:t>
      </w:r>
      <w:r w:rsidR="0023426E">
        <w:rPr>
          <w:iCs/>
        </w:rPr>
        <w:t xml:space="preserve"> 2022</w:t>
      </w:r>
      <w:r w:rsidRPr="00601C0C">
        <w:rPr>
          <w:iCs/>
        </w:rPr>
        <w:t>. годину чини Документ оквирног буџет</w:t>
      </w:r>
      <w:r w:rsidR="006C118C">
        <w:rPr>
          <w:iCs/>
        </w:rPr>
        <w:t>а Репуб</w:t>
      </w:r>
      <w:r w:rsidR="0023426E">
        <w:rPr>
          <w:iCs/>
        </w:rPr>
        <w:t>лике Српске за период 2022</w:t>
      </w:r>
      <w:r w:rsidRPr="00601C0C">
        <w:rPr>
          <w:iCs/>
        </w:rPr>
        <w:t>-20</w:t>
      </w:r>
      <w:r w:rsidR="0023426E">
        <w:rPr>
          <w:iCs/>
        </w:rPr>
        <w:t>24</w:t>
      </w:r>
      <w:r w:rsidR="00E76B26">
        <w:rPr>
          <w:iCs/>
        </w:rPr>
        <w:t>. година, којег</w:t>
      </w:r>
      <w:r w:rsidRPr="00601C0C">
        <w:rPr>
          <w:iCs/>
        </w:rPr>
        <w:t xml:space="preserve"> је донијела Влада Републике Српске, одређујући стратешки оквир и горње границе ресурса за припрему годишњег буџета Републике, општина/градова и ванбуџетских фондов</w:t>
      </w:r>
      <w:r w:rsidR="0023426E">
        <w:rPr>
          <w:iCs/>
        </w:rPr>
        <w:t>а. Документ оквирног буџета 2022</w:t>
      </w:r>
      <w:r w:rsidRPr="00601C0C">
        <w:rPr>
          <w:iCs/>
        </w:rPr>
        <w:t>-20</w:t>
      </w:r>
      <w:r w:rsidR="0023426E">
        <w:rPr>
          <w:iCs/>
        </w:rPr>
        <w:t>24</w:t>
      </w:r>
      <w:r w:rsidR="006C118C">
        <w:rPr>
          <w:iCs/>
        </w:rPr>
        <w:t xml:space="preserve"> (скраћен</w:t>
      </w:r>
      <w:r w:rsidR="0023426E">
        <w:rPr>
          <w:iCs/>
        </w:rPr>
        <w:t>о: ДОБ 2022</w:t>
      </w:r>
      <w:r w:rsidRPr="00601C0C">
        <w:rPr>
          <w:iCs/>
        </w:rPr>
        <w:t>-20</w:t>
      </w:r>
      <w:r w:rsidR="0023426E">
        <w:rPr>
          <w:iCs/>
        </w:rPr>
        <w:t>24</w:t>
      </w:r>
      <w:r w:rsidRPr="00601C0C">
        <w:rPr>
          <w:iCs/>
        </w:rPr>
        <w:t>, објављен на сајту Владе/Министарства финансија РС) садржи процјену макроекономских показатеља, пројекције пр</w:t>
      </w:r>
      <w:r w:rsidR="0023426E">
        <w:rPr>
          <w:iCs/>
        </w:rPr>
        <w:t>ихода и прогнозе расхода за 2022</w:t>
      </w:r>
      <w:r w:rsidRPr="00601C0C">
        <w:rPr>
          <w:iCs/>
        </w:rPr>
        <w:t>. годину и наредну годину.</w:t>
      </w:r>
    </w:p>
    <w:p w:rsidR="001160E2" w:rsidRPr="00601C0C" w:rsidRDefault="001160E2" w:rsidP="00601C0C">
      <w:pPr>
        <w:jc w:val="both"/>
        <w:rPr>
          <w:iCs/>
        </w:rPr>
      </w:pPr>
      <w:r w:rsidRPr="00601C0C">
        <w:rPr>
          <w:iCs/>
        </w:rPr>
        <w:t>У складу са прогнозом макроекономских показатеља за наредну фискалну</w:t>
      </w:r>
      <w:r w:rsidR="003C76BA">
        <w:rPr>
          <w:iCs/>
        </w:rPr>
        <w:t xml:space="preserve"> годину (реални раст БДП </w:t>
      </w:r>
      <w:r w:rsidR="0023426E">
        <w:rPr>
          <w:iCs/>
        </w:rPr>
        <w:t>4,5</w:t>
      </w:r>
      <w:r w:rsidR="008E5DE4">
        <w:rPr>
          <w:iCs/>
        </w:rPr>
        <w:t xml:space="preserve"> </w:t>
      </w:r>
      <w:r w:rsidRPr="00E40E98">
        <w:rPr>
          <w:iCs/>
        </w:rPr>
        <w:t>%),</w:t>
      </w:r>
      <w:r w:rsidRPr="00601C0C">
        <w:rPr>
          <w:iCs/>
        </w:rPr>
        <w:t xml:space="preserve"> према ДОБ-у, </w:t>
      </w:r>
      <w:r w:rsidR="008E5DE4">
        <w:rPr>
          <w:iCs/>
        </w:rPr>
        <w:t xml:space="preserve">а </w:t>
      </w:r>
      <w:r w:rsidRPr="00601C0C">
        <w:rPr>
          <w:iCs/>
        </w:rPr>
        <w:t>очекивани износ укупних пореских и непореских прихода који ће бити на распол</w:t>
      </w:r>
      <w:r w:rsidR="00AB76CE">
        <w:rPr>
          <w:iCs/>
        </w:rPr>
        <w:t>а</w:t>
      </w:r>
      <w:r w:rsidR="0023426E">
        <w:rPr>
          <w:iCs/>
        </w:rPr>
        <w:t>гању локалним заједницама у 2022</w:t>
      </w:r>
      <w:r w:rsidR="00F46D1F">
        <w:rPr>
          <w:iCs/>
        </w:rPr>
        <w:t>.</w:t>
      </w:r>
      <w:r w:rsidRPr="00601C0C">
        <w:rPr>
          <w:iCs/>
        </w:rPr>
        <w:t xml:space="preserve"> години је </w:t>
      </w:r>
      <w:r w:rsidR="0023426E">
        <w:rPr>
          <w:iCs/>
        </w:rPr>
        <w:t>723,0</w:t>
      </w:r>
      <w:r w:rsidR="00A76831">
        <w:rPr>
          <w:iCs/>
        </w:rPr>
        <w:t xml:space="preserve"> </w:t>
      </w:r>
      <w:r w:rsidRPr="00601C0C">
        <w:rPr>
          <w:iCs/>
        </w:rPr>
        <w:t xml:space="preserve">милиона КМ. </w:t>
      </w:r>
    </w:p>
    <w:p w:rsidR="001160E2" w:rsidRDefault="001160E2" w:rsidP="00601C0C">
      <w:pPr>
        <w:jc w:val="both"/>
        <w:rPr>
          <w:iCs/>
        </w:rPr>
      </w:pPr>
      <w:r w:rsidRPr="00601C0C">
        <w:rPr>
          <w:iCs/>
        </w:rPr>
        <w:t xml:space="preserve">Пројекција прихода јединица </w:t>
      </w:r>
      <w:r w:rsidR="00AB513F">
        <w:rPr>
          <w:iCs/>
        </w:rPr>
        <w:t>л</w:t>
      </w:r>
      <w:r w:rsidR="0023426E">
        <w:rPr>
          <w:iCs/>
        </w:rPr>
        <w:t>окалне самоуправе у периоду 2022</w:t>
      </w:r>
      <w:r w:rsidRPr="00601C0C">
        <w:rPr>
          <w:iCs/>
        </w:rPr>
        <w:t>-20</w:t>
      </w:r>
      <w:r w:rsidR="0023426E">
        <w:rPr>
          <w:iCs/>
        </w:rPr>
        <w:t>24</w:t>
      </w:r>
      <w:r w:rsidRPr="00601C0C">
        <w:rPr>
          <w:iCs/>
        </w:rPr>
        <w:t xml:space="preserve"> (у мил. КМ): </w:t>
      </w:r>
    </w:p>
    <w:p w:rsidR="00601C0C" w:rsidRPr="00601C0C" w:rsidRDefault="00601C0C" w:rsidP="00601C0C">
      <w:pPr>
        <w:jc w:val="both"/>
        <w:rPr>
          <w:iCs/>
        </w:rPr>
      </w:pPr>
    </w:p>
    <w:p w:rsidR="007D0D74" w:rsidRPr="007D0D74" w:rsidRDefault="001160E2" w:rsidP="007D0D74">
      <w:pPr>
        <w:pBdr>
          <w:top w:val="single" w:sz="4" w:space="1" w:color="auto"/>
          <w:bottom w:val="single" w:sz="4" w:space="1" w:color="auto"/>
        </w:pBdr>
        <w:jc w:val="both"/>
        <w:rPr>
          <w:b/>
          <w:i/>
          <w:iCs/>
          <w:lang w:val="sr-Latn-BA"/>
        </w:rPr>
      </w:pPr>
      <w:r w:rsidRPr="00152FA8">
        <w:rPr>
          <w:b/>
          <w:i/>
          <w:iCs/>
        </w:rPr>
        <w:t>Врсте прихода</w:t>
      </w:r>
      <w:r w:rsidRPr="00152FA8">
        <w:rPr>
          <w:b/>
          <w:i/>
          <w:iCs/>
        </w:rPr>
        <w:tab/>
      </w:r>
      <w:r w:rsidR="00013992" w:rsidRPr="00152FA8">
        <w:rPr>
          <w:b/>
          <w:i/>
          <w:iCs/>
          <w:lang w:val="sr-Latn-BA"/>
        </w:rPr>
        <w:tab/>
      </w:r>
      <w:r w:rsidR="00013992" w:rsidRPr="00152FA8">
        <w:rPr>
          <w:b/>
          <w:i/>
          <w:iCs/>
          <w:lang w:val="sr-Latn-BA"/>
        </w:rPr>
        <w:tab/>
      </w:r>
      <w:r w:rsidR="0023426E">
        <w:rPr>
          <w:b/>
          <w:i/>
          <w:iCs/>
        </w:rPr>
        <w:t>2022</w:t>
      </w:r>
      <w:r w:rsidR="00FB6FE1">
        <w:rPr>
          <w:b/>
          <w:i/>
          <w:iCs/>
        </w:rPr>
        <w:t>.</w:t>
      </w:r>
      <w:r w:rsidR="00631EB5">
        <w:rPr>
          <w:b/>
          <w:i/>
          <w:iCs/>
        </w:rPr>
        <w:t xml:space="preserve">    </w:t>
      </w:r>
      <w:r w:rsidR="0023426E">
        <w:rPr>
          <w:b/>
          <w:i/>
          <w:iCs/>
        </w:rPr>
        <w:tab/>
        <w:t>2023</w:t>
      </w:r>
      <w:r w:rsidR="00FB6FE1">
        <w:rPr>
          <w:b/>
          <w:i/>
          <w:iCs/>
        </w:rPr>
        <w:t>.</w:t>
      </w:r>
      <w:r w:rsidRPr="00152FA8">
        <w:rPr>
          <w:b/>
          <w:i/>
          <w:iCs/>
        </w:rPr>
        <w:tab/>
      </w:r>
      <w:r w:rsidR="00631EB5">
        <w:rPr>
          <w:b/>
          <w:i/>
          <w:iCs/>
        </w:rPr>
        <w:t xml:space="preserve">            </w:t>
      </w:r>
      <w:r w:rsidRPr="00152FA8">
        <w:rPr>
          <w:b/>
          <w:i/>
          <w:iCs/>
        </w:rPr>
        <w:t>20</w:t>
      </w:r>
      <w:r w:rsidR="0023426E">
        <w:rPr>
          <w:b/>
          <w:i/>
          <w:iCs/>
        </w:rPr>
        <w:t>24</w:t>
      </w:r>
      <w:r w:rsidR="00FB6FE1">
        <w:rPr>
          <w:b/>
          <w:i/>
          <w:iCs/>
        </w:rPr>
        <w:t>.</w:t>
      </w:r>
    </w:p>
    <w:p w:rsidR="007D0D74" w:rsidRPr="0023426E" w:rsidRDefault="001160E2" w:rsidP="009E1406">
      <w:pPr>
        <w:pBdr>
          <w:bottom w:val="single" w:sz="4" w:space="1" w:color="auto"/>
        </w:pBdr>
        <w:jc w:val="both"/>
        <w:rPr>
          <w:iCs/>
        </w:rPr>
      </w:pPr>
      <w:r w:rsidRPr="00B16357">
        <w:rPr>
          <w:iCs/>
        </w:rPr>
        <w:t>Порески приходи</w:t>
      </w:r>
      <w:r w:rsidRPr="00B16357">
        <w:rPr>
          <w:iCs/>
        </w:rPr>
        <w:tab/>
      </w:r>
      <w:r w:rsidR="00013992" w:rsidRPr="00B16357">
        <w:rPr>
          <w:iCs/>
          <w:lang w:val="sr-Latn-BA"/>
        </w:rPr>
        <w:tab/>
      </w:r>
      <w:r w:rsidR="00013992" w:rsidRPr="00B16357">
        <w:rPr>
          <w:iCs/>
          <w:lang w:val="sr-Latn-BA"/>
        </w:rPr>
        <w:tab/>
      </w:r>
      <w:r w:rsidR="0023426E">
        <w:rPr>
          <w:iCs/>
        </w:rPr>
        <w:t>447,0</w:t>
      </w:r>
      <w:r w:rsidR="00631EB5">
        <w:rPr>
          <w:iCs/>
        </w:rPr>
        <w:t xml:space="preserve">         </w:t>
      </w:r>
      <w:r w:rsidR="00FB6FE1">
        <w:rPr>
          <w:iCs/>
        </w:rPr>
        <w:t xml:space="preserve">     </w:t>
      </w:r>
      <w:r w:rsidR="00631EB5">
        <w:rPr>
          <w:iCs/>
        </w:rPr>
        <w:t xml:space="preserve"> </w:t>
      </w:r>
      <w:r w:rsidR="0023426E">
        <w:rPr>
          <w:iCs/>
        </w:rPr>
        <w:t>442,0</w:t>
      </w:r>
      <w:r w:rsidR="00631EB5">
        <w:rPr>
          <w:iCs/>
        </w:rPr>
        <w:t xml:space="preserve">           </w:t>
      </w:r>
      <w:r w:rsidR="00FB6FE1">
        <w:rPr>
          <w:iCs/>
        </w:rPr>
        <w:t xml:space="preserve">  </w:t>
      </w:r>
      <w:r w:rsidR="00FA05FD">
        <w:rPr>
          <w:iCs/>
        </w:rPr>
        <w:t xml:space="preserve"> </w:t>
      </w:r>
      <w:r w:rsidR="00631EB5">
        <w:rPr>
          <w:iCs/>
        </w:rPr>
        <w:t xml:space="preserve"> </w:t>
      </w:r>
      <w:r w:rsidR="0023426E">
        <w:rPr>
          <w:iCs/>
        </w:rPr>
        <w:t>464,3</w:t>
      </w:r>
    </w:p>
    <w:p w:rsidR="001160E2" w:rsidRPr="00B16357" w:rsidRDefault="001160E2" w:rsidP="009E1406">
      <w:pPr>
        <w:pBdr>
          <w:bottom w:val="single" w:sz="4" w:space="1" w:color="auto"/>
        </w:pBdr>
        <w:jc w:val="both"/>
        <w:rPr>
          <w:iCs/>
          <w:lang w:val="sr-Latn-BA"/>
        </w:rPr>
      </w:pPr>
      <w:r w:rsidRPr="00B16357">
        <w:rPr>
          <w:iCs/>
        </w:rPr>
        <w:t>Непорески приходи</w:t>
      </w:r>
      <w:r w:rsidRPr="00B16357">
        <w:rPr>
          <w:iCs/>
        </w:rPr>
        <w:tab/>
      </w:r>
      <w:r w:rsidR="00013992" w:rsidRPr="00B16357">
        <w:rPr>
          <w:iCs/>
          <w:lang w:val="sr-Latn-BA"/>
        </w:rPr>
        <w:tab/>
      </w:r>
      <w:r w:rsidR="00013992" w:rsidRPr="00B16357">
        <w:rPr>
          <w:iCs/>
          <w:lang w:val="sr-Latn-BA"/>
        </w:rPr>
        <w:tab/>
      </w:r>
      <w:r w:rsidR="0023426E">
        <w:rPr>
          <w:iCs/>
        </w:rPr>
        <w:t>210,0</w:t>
      </w:r>
      <w:r w:rsidR="00631EB5">
        <w:rPr>
          <w:iCs/>
        </w:rPr>
        <w:t xml:space="preserve">        </w:t>
      </w:r>
      <w:r w:rsidR="00FB6FE1">
        <w:rPr>
          <w:iCs/>
        </w:rPr>
        <w:t xml:space="preserve">    </w:t>
      </w:r>
      <w:r w:rsidR="00631EB5">
        <w:rPr>
          <w:iCs/>
        </w:rPr>
        <w:t xml:space="preserve">   </w:t>
      </w:r>
      <w:r w:rsidR="0023426E">
        <w:rPr>
          <w:iCs/>
        </w:rPr>
        <w:t>218,4</w:t>
      </w:r>
      <w:r w:rsidR="00631EB5">
        <w:rPr>
          <w:iCs/>
        </w:rPr>
        <w:t xml:space="preserve">               </w:t>
      </w:r>
      <w:r w:rsidR="0023426E">
        <w:rPr>
          <w:iCs/>
        </w:rPr>
        <w:t>227,8</w:t>
      </w:r>
    </w:p>
    <w:p w:rsidR="001160E2" w:rsidRPr="00F46D1F" w:rsidRDefault="001160E2" w:rsidP="009E1406">
      <w:pPr>
        <w:pBdr>
          <w:bottom w:val="single" w:sz="4" w:space="1" w:color="auto"/>
        </w:pBdr>
        <w:jc w:val="both"/>
        <w:rPr>
          <w:iCs/>
        </w:rPr>
      </w:pPr>
      <w:r w:rsidRPr="00B16357">
        <w:rPr>
          <w:iCs/>
        </w:rPr>
        <w:t>Грантови</w:t>
      </w:r>
      <w:r w:rsidRPr="00B16357">
        <w:rPr>
          <w:iCs/>
        </w:rPr>
        <w:tab/>
      </w:r>
      <w:r w:rsidR="00013992" w:rsidRPr="00B16357">
        <w:rPr>
          <w:iCs/>
          <w:lang w:val="sr-Latn-BA"/>
        </w:rPr>
        <w:tab/>
      </w:r>
      <w:r w:rsidR="00013992" w:rsidRPr="00B16357">
        <w:rPr>
          <w:iCs/>
          <w:lang w:val="sr-Latn-BA"/>
        </w:rPr>
        <w:tab/>
      </w:r>
      <w:r w:rsidR="00013992" w:rsidRPr="00B16357">
        <w:rPr>
          <w:iCs/>
          <w:lang w:val="sr-Latn-BA"/>
        </w:rPr>
        <w:tab/>
      </w:r>
      <w:r w:rsidR="00631EB5">
        <w:rPr>
          <w:iCs/>
        </w:rPr>
        <w:t xml:space="preserve">    </w:t>
      </w:r>
      <w:r w:rsidR="0023426E">
        <w:rPr>
          <w:iCs/>
        </w:rPr>
        <w:t>7</w:t>
      </w:r>
      <w:r w:rsidRPr="00B16357">
        <w:rPr>
          <w:iCs/>
        </w:rPr>
        <w:tab/>
      </w:r>
      <w:r w:rsidR="00631EB5">
        <w:rPr>
          <w:iCs/>
        </w:rPr>
        <w:t xml:space="preserve">             </w:t>
      </w:r>
      <w:r w:rsidR="00FB6FE1">
        <w:rPr>
          <w:iCs/>
        </w:rPr>
        <w:t xml:space="preserve">   </w:t>
      </w:r>
      <w:r w:rsidR="00631EB5">
        <w:rPr>
          <w:iCs/>
        </w:rPr>
        <w:t xml:space="preserve"> </w:t>
      </w:r>
      <w:r w:rsidR="0023426E">
        <w:rPr>
          <w:iCs/>
        </w:rPr>
        <w:t>7</w:t>
      </w:r>
      <w:r w:rsidR="00FB6FE1">
        <w:rPr>
          <w:iCs/>
        </w:rPr>
        <w:t xml:space="preserve">          </w:t>
      </w:r>
      <w:r w:rsidR="00631EB5">
        <w:rPr>
          <w:iCs/>
        </w:rPr>
        <w:t xml:space="preserve">   </w:t>
      </w:r>
      <w:r w:rsidRPr="00B16357">
        <w:rPr>
          <w:iCs/>
        </w:rPr>
        <w:tab/>
      </w:r>
      <w:r w:rsidR="00FA05FD">
        <w:rPr>
          <w:iCs/>
        </w:rPr>
        <w:t xml:space="preserve">     </w:t>
      </w:r>
      <w:r w:rsidR="0023426E">
        <w:rPr>
          <w:iCs/>
        </w:rPr>
        <w:t>7</w:t>
      </w:r>
    </w:p>
    <w:p w:rsidR="001160E2" w:rsidRPr="00FA05FD" w:rsidRDefault="001160E2" w:rsidP="009E1406">
      <w:pPr>
        <w:pBdr>
          <w:bottom w:val="single" w:sz="4" w:space="1" w:color="auto"/>
        </w:pBdr>
        <w:jc w:val="both"/>
        <w:rPr>
          <w:iCs/>
        </w:rPr>
      </w:pPr>
      <w:r w:rsidRPr="00B16357">
        <w:rPr>
          <w:iCs/>
        </w:rPr>
        <w:t>Трансфери између буџ.јединица</w:t>
      </w:r>
      <w:r w:rsidRPr="00B16357">
        <w:rPr>
          <w:iCs/>
        </w:rPr>
        <w:tab/>
      </w:r>
      <w:r w:rsidR="00631EB5">
        <w:rPr>
          <w:iCs/>
        </w:rPr>
        <w:t xml:space="preserve">  </w:t>
      </w:r>
      <w:r w:rsidR="0023426E">
        <w:rPr>
          <w:iCs/>
        </w:rPr>
        <w:t>58,9</w:t>
      </w:r>
      <w:r w:rsidRPr="00B16357">
        <w:rPr>
          <w:iCs/>
        </w:rPr>
        <w:tab/>
      </w:r>
      <w:r w:rsidR="00631EB5">
        <w:rPr>
          <w:iCs/>
        </w:rPr>
        <w:t xml:space="preserve">           </w:t>
      </w:r>
      <w:r w:rsidR="00FA05FD">
        <w:rPr>
          <w:iCs/>
        </w:rPr>
        <w:t xml:space="preserve">   </w:t>
      </w:r>
      <w:r w:rsidR="00631EB5">
        <w:rPr>
          <w:iCs/>
        </w:rPr>
        <w:t xml:space="preserve"> </w:t>
      </w:r>
      <w:r w:rsidR="0023426E">
        <w:rPr>
          <w:iCs/>
        </w:rPr>
        <w:t>57,5</w:t>
      </w:r>
      <w:r w:rsidRPr="00B16357">
        <w:rPr>
          <w:iCs/>
        </w:rPr>
        <w:tab/>
      </w:r>
      <w:r w:rsidR="00631EB5">
        <w:rPr>
          <w:iCs/>
        </w:rPr>
        <w:t xml:space="preserve">          </w:t>
      </w:r>
      <w:r w:rsidR="00D94920">
        <w:rPr>
          <w:iCs/>
        </w:rPr>
        <w:t xml:space="preserve"> </w:t>
      </w:r>
      <w:r w:rsidR="00FA05FD">
        <w:rPr>
          <w:iCs/>
        </w:rPr>
        <w:t xml:space="preserve"> </w:t>
      </w:r>
      <w:r w:rsidR="00631EB5">
        <w:rPr>
          <w:iCs/>
        </w:rPr>
        <w:t xml:space="preserve"> </w:t>
      </w:r>
      <w:r w:rsidR="0023426E">
        <w:rPr>
          <w:iCs/>
        </w:rPr>
        <w:t xml:space="preserve">  57,10</w:t>
      </w:r>
    </w:p>
    <w:p w:rsidR="00B16357" w:rsidRPr="00F46D1F" w:rsidRDefault="001160E2" w:rsidP="00601C0C">
      <w:pPr>
        <w:jc w:val="both"/>
        <w:rPr>
          <w:b/>
          <w:iCs/>
        </w:rPr>
      </w:pPr>
      <w:r w:rsidRPr="00B16357">
        <w:rPr>
          <w:b/>
          <w:iCs/>
        </w:rPr>
        <w:t>Укупно:</w:t>
      </w:r>
      <w:r w:rsidRPr="00B16357">
        <w:rPr>
          <w:b/>
          <w:iCs/>
        </w:rPr>
        <w:tab/>
      </w:r>
      <w:r w:rsidR="00013992" w:rsidRPr="00B16357">
        <w:rPr>
          <w:b/>
          <w:iCs/>
          <w:lang w:val="sr-Latn-BA"/>
        </w:rPr>
        <w:tab/>
      </w:r>
      <w:r w:rsidR="00013992" w:rsidRPr="00B16357">
        <w:rPr>
          <w:b/>
          <w:iCs/>
          <w:lang w:val="sr-Latn-BA"/>
        </w:rPr>
        <w:tab/>
      </w:r>
      <w:r w:rsidR="00013992" w:rsidRPr="00B16357">
        <w:rPr>
          <w:b/>
          <w:iCs/>
          <w:lang w:val="sr-Latn-BA"/>
        </w:rPr>
        <w:tab/>
      </w:r>
      <w:r w:rsidR="0023426E">
        <w:rPr>
          <w:b/>
          <w:iCs/>
        </w:rPr>
        <w:t xml:space="preserve"> 722,9</w:t>
      </w:r>
      <w:r w:rsidR="00631EB5">
        <w:rPr>
          <w:b/>
          <w:iCs/>
        </w:rPr>
        <w:t xml:space="preserve">          </w:t>
      </w:r>
      <w:r w:rsidR="00FA05FD">
        <w:rPr>
          <w:b/>
          <w:iCs/>
        </w:rPr>
        <w:t xml:space="preserve">    </w:t>
      </w:r>
      <w:r w:rsidR="00631EB5">
        <w:rPr>
          <w:b/>
          <w:iCs/>
        </w:rPr>
        <w:t xml:space="preserve"> </w:t>
      </w:r>
      <w:r w:rsidR="0023426E">
        <w:rPr>
          <w:b/>
          <w:iCs/>
        </w:rPr>
        <w:t>724,9</w:t>
      </w:r>
      <w:r w:rsidR="00631EB5">
        <w:rPr>
          <w:b/>
          <w:iCs/>
        </w:rPr>
        <w:t xml:space="preserve">             </w:t>
      </w:r>
      <w:r w:rsidR="0023426E">
        <w:rPr>
          <w:b/>
          <w:iCs/>
        </w:rPr>
        <w:t>756</w:t>
      </w:r>
      <w:r w:rsidR="00FA05FD">
        <w:rPr>
          <w:b/>
          <w:iCs/>
        </w:rPr>
        <w:t>,2</w:t>
      </w:r>
    </w:p>
    <w:p w:rsidR="00B16357" w:rsidRDefault="00B16357" w:rsidP="00601C0C">
      <w:pPr>
        <w:jc w:val="both"/>
        <w:rPr>
          <w:b/>
          <w:iCs/>
          <w:lang w:val="sr-Latn-BA"/>
        </w:rPr>
      </w:pPr>
    </w:p>
    <w:p w:rsidR="001160E2" w:rsidRDefault="001160E2" w:rsidP="00601C0C">
      <w:pPr>
        <w:jc w:val="both"/>
        <w:rPr>
          <w:iCs/>
        </w:rPr>
      </w:pPr>
      <w:r w:rsidRPr="00601C0C">
        <w:rPr>
          <w:iCs/>
        </w:rPr>
        <w:t xml:space="preserve">У оквиру пореских прихода пројектовано је </w:t>
      </w:r>
      <w:r w:rsidR="007E1591">
        <w:rPr>
          <w:iCs/>
        </w:rPr>
        <w:t>373</w:t>
      </w:r>
      <w:r w:rsidRPr="00601C0C">
        <w:rPr>
          <w:iCs/>
        </w:rPr>
        <w:t xml:space="preserve"> м</w:t>
      </w:r>
      <w:r w:rsidR="00E40E98">
        <w:rPr>
          <w:iCs/>
        </w:rPr>
        <w:t>илиона КМ од индиректних пореза</w:t>
      </w:r>
      <w:r w:rsidR="00A90B77">
        <w:rPr>
          <w:iCs/>
          <w:lang w:val="sr-Latn-BA"/>
        </w:rPr>
        <w:t>,</w:t>
      </w:r>
      <w:r w:rsidR="00A66A8D">
        <w:rPr>
          <w:iCs/>
        </w:rPr>
        <w:t xml:space="preserve"> </w:t>
      </w:r>
      <w:r w:rsidR="00A90B77">
        <w:rPr>
          <w:iCs/>
        </w:rPr>
        <w:t xml:space="preserve">док су средства од директних пореза </w:t>
      </w:r>
      <w:r w:rsidR="007E1591">
        <w:rPr>
          <w:iCs/>
        </w:rPr>
        <w:t xml:space="preserve"> процјењена на 66,6</w:t>
      </w:r>
      <w:r w:rsidR="00777E54">
        <w:rPr>
          <w:iCs/>
        </w:rPr>
        <w:t xml:space="preserve"> </w:t>
      </w:r>
      <w:r w:rsidR="00A90B77">
        <w:rPr>
          <w:iCs/>
        </w:rPr>
        <w:t>милиона КМ</w:t>
      </w:r>
      <w:r w:rsidR="00E40E98">
        <w:rPr>
          <w:iCs/>
          <w:lang w:val="sr-Latn-BA"/>
        </w:rPr>
        <w:t>.</w:t>
      </w:r>
      <w:r w:rsidR="00922203">
        <w:rPr>
          <w:iCs/>
          <w:lang w:val="sr-Latn-BA"/>
        </w:rPr>
        <w:t xml:space="preserve"> </w:t>
      </w:r>
      <w:r w:rsidR="006F016E">
        <w:rPr>
          <w:iCs/>
        </w:rPr>
        <w:t>На ос</w:t>
      </w:r>
      <w:r w:rsidR="007E1591">
        <w:rPr>
          <w:iCs/>
        </w:rPr>
        <w:t>тале  порезе пројектовано је 7,4</w:t>
      </w:r>
      <w:r w:rsidR="006F016E">
        <w:rPr>
          <w:iCs/>
        </w:rPr>
        <w:t xml:space="preserve"> милиона КМ.</w:t>
      </w:r>
      <w:r w:rsidR="00A66A8D">
        <w:rPr>
          <w:iCs/>
        </w:rPr>
        <w:t xml:space="preserve"> </w:t>
      </w:r>
      <w:r w:rsidRPr="00601C0C">
        <w:rPr>
          <w:iCs/>
        </w:rPr>
        <w:t>ДОБ има за циљ изградњу одрживог фискалног система, примјену и провођење важећих закона са циљем подршке одрживости буџета л</w:t>
      </w:r>
      <w:r w:rsidR="00777E54">
        <w:rPr>
          <w:iCs/>
        </w:rPr>
        <w:t>о</w:t>
      </w:r>
      <w:r w:rsidR="006F016E">
        <w:rPr>
          <w:iCs/>
        </w:rPr>
        <w:t>кални</w:t>
      </w:r>
      <w:r w:rsidR="007E1591">
        <w:rPr>
          <w:iCs/>
        </w:rPr>
        <w:t>х заједница. У периоду 2022</w:t>
      </w:r>
      <w:r w:rsidRPr="00601C0C">
        <w:rPr>
          <w:iCs/>
        </w:rPr>
        <w:t>-20</w:t>
      </w:r>
      <w:r w:rsidR="007E1591">
        <w:rPr>
          <w:iCs/>
        </w:rPr>
        <w:t>24</w:t>
      </w:r>
      <w:r w:rsidRPr="00601C0C">
        <w:rPr>
          <w:iCs/>
        </w:rPr>
        <w:t>. године треба да допринесе ажурнијем извршавању пореских обавеза пореских обвезника, јачању фискалне и финансијске дисциплине и извјеснијем задовољавању потреба које се финансирају из јавних средстава.</w:t>
      </w:r>
    </w:p>
    <w:p w:rsidR="0043676D" w:rsidRDefault="0043676D" w:rsidP="00601C0C">
      <w:pPr>
        <w:jc w:val="both"/>
        <w:rPr>
          <w:iCs/>
        </w:rPr>
      </w:pPr>
    </w:p>
    <w:p w:rsidR="00D94920" w:rsidRDefault="00D94920" w:rsidP="00601C0C">
      <w:pPr>
        <w:jc w:val="both"/>
        <w:rPr>
          <w:iCs/>
          <w:lang w:val="en-US"/>
        </w:rPr>
      </w:pPr>
    </w:p>
    <w:p w:rsidR="004B7FB0" w:rsidRPr="004B7FB0" w:rsidRDefault="004B7FB0" w:rsidP="00601C0C">
      <w:pPr>
        <w:jc w:val="both"/>
        <w:rPr>
          <w:iCs/>
          <w:lang w:val="en-US"/>
        </w:rPr>
      </w:pPr>
    </w:p>
    <w:p w:rsidR="00D94920" w:rsidRPr="00601C0C" w:rsidRDefault="00D94920" w:rsidP="00601C0C">
      <w:pPr>
        <w:jc w:val="both"/>
        <w:rPr>
          <w:iCs/>
        </w:rPr>
      </w:pPr>
    </w:p>
    <w:p w:rsidR="001160E2" w:rsidRPr="0043676D" w:rsidRDefault="001160E2" w:rsidP="0043676D">
      <w:pPr>
        <w:pStyle w:val="ListParagraph"/>
        <w:numPr>
          <w:ilvl w:val="0"/>
          <w:numId w:val="15"/>
        </w:numPr>
        <w:jc w:val="both"/>
        <w:rPr>
          <w:b/>
          <w:iCs/>
        </w:rPr>
      </w:pPr>
      <w:r w:rsidRPr="0043676D">
        <w:rPr>
          <w:b/>
          <w:iCs/>
        </w:rPr>
        <w:lastRenderedPageBreak/>
        <w:t>Политика локалне власти</w:t>
      </w:r>
    </w:p>
    <w:p w:rsidR="0043676D" w:rsidRPr="0043676D" w:rsidRDefault="0043676D" w:rsidP="0043676D">
      <w:pPr>
        <w:pStyle w:val="ListParagraph"/>
        <w:ind w:left="1065"/>
        <w:jc w:val="both"/>
        <w:rPr>
          <w:b/>
          <w:iCs/>
        </w:rPr>
      </w:pPr>
    </w:p>
    <w:p w:rsidR="001160E2" w:rsidRDefault="007E1591" w:rsidP="00601C0C">
      <w:pPr>
        <w:jc w:val="both"/>
        <w:rPr>
          <w:iCs/>
          <w:lang w:val="en-US"/>
        </w:rPr>
      </w:pPr>
      <w:r>
        <w:rPr>
          <w:iCs/>
        </w:rPr>
        <w:t>Политика локалне власти за 2022</w:t>
      </w:r>
      <w:r w:rsidR="001160E2" w:rsidRPr="00601C0C">
        <w:rPr>
          <w:iCs/>
        </w:rPr>
        <w:t xml:space="preserve">. годину орјентисана је на имплементацију стратешких циљева и одржавању стабилности буџета Општине. </w:t>
      </w:r>
    </w:p>
    <w:p w:rsidR="001160E2" w:rsidRPr="0043676D" w:rsidRDefault="001160E2" w:rsidP="0043676D">
      <w:pPr>
        <w:jc w:val="both"/>
        <w:rPr>
          <w:iCs/>
        </w:rPr>
      </w:pPr>
      <w:r w:rsidRPr="0043676D">
        <w:rPr>
          <w:iCs/>
        </w:rPr>
        <w:t xml:space="preserve">Имајући у виду да буџет представља инструмент за остваривање тих циљева, годишња процјена средстава и издатака за наредну фискалну годину треба да финансијски подржава стратешки план развоја и задовољење потреба грађана за јавним услугама. Основно опредјељење локалне власти је да се припреми буџет који је остварив и стабилан, а да се истовремено у структури буџетског документа препознају дефинисани циљеви, политике, програми и услуге. </w:t>
      </w:r>
      <w:r w:rsidR="0001601D">
        <w:rPr>
          <w:iCs/>
        </w:rPr>
        <w:t>Још када напоменемо да је пандемија коро</w:t>
      </w:r>
      <w:r w:rsidR="007E1591">
        <w:rPr>
          <w:iCs/>
        </w:rPr>
        <w:t>на вируса, која још увијек није престала,иако је у значајној мјери попустила</w:t>
      </w:r>
      <w:r w:rsidR="0001601D">
        <w:rPr>
          <w:iCs/>
        </w:rPr>
        <w:t>,</w:t>
      </w:r>
      <w:r w:rsidR="007E1591">
        <w:rPr>
          <w:iCs/>
        </w:rPr>
        <w:t xml:space="preserve"> озбиљно </w:t>
      </w:r>
      <w:r w:rsidR="0001601D">
        <w:rPr>
          <w:iCs/>
        </w:rPr>
        <w:t xml:space="preserve"> утицала на потрошњу, индустријску производњу,улагања,трговину,токове капитала и</w:t>
      </w:r>
      <w:r w:rsidR="007E1591">
        <w:rPr>
          <w:iCs/>
        </w:rPr>
        <w:t xml:space="preserve"> ланце снадбијевања. П</w:t>
      </w:r>
      <w:r w:rsidR="0001601D">
        <w:rPr>
          <w:iCs/>
        </w:rPr>
        <w:t>опуштање мјера ограничавања требало би поставити темеље за опоравак, мада се  не очекује да ће економија у потпуности моћи да надокна</w:t>
      </w:r>
      <w:r w:rsidR="007E1591">
        <w:rPr>
          <w:iCs/>
        </w:rPr>
        <w:t xml:space="preserve">ди </w:t>
      </w:r>
      <w:r w:rsidR="0001601D">
        <w:rPr>
          <w:iCs/>
        </w:rPr>
        <w:t xml:space="preserve"> губитке.С тим у вези морамо бити </w:t>
      </w:r>
      <w:r w:rsidR="007E1591">
        <w:rPr>
          <w:iCs/>
        </w:rPr>
        <w:t xml:space="preserve">и даље </w:t>
      </w:r>
      <w:r w:rsidR="0001601D">
        <w:rPr>
          <w:iCs/>
        </w:rPr>
        <w:t>опрезни и штедљиви.</w:t>
      </w:r>
    </w:p>
    <w:p w:rsidR="001160E2" w:rsidRPr="0043676D" w:rsidRDefault="001160E2" w:rsidP="0043676D">
      <w:pPr>
        <w:jc w:val="both"/>
        <w:rPr>
          <w:iCs/>
        </w:rPr>
      </w:pPr>
      <w:r w:rsidRPr="0043676D">
        <w:rPr>
          <w:iCs/>
        </w:rPr>
        <w:t xml:space="preserve">Ефикасније коришћење расположивих ресурса, као и успјешније одређивање приоритета у трошењу финансијских средстава, </w:t>
      </w:r>
      <w:r w:rsidR="004E25A8">
        <w:rPr>
          <w:iCs/>
        </w:rPr>
        <w:t xml:space="preserve">увијек је била основа </w:t>
      </w:r>
      <w:r w:rsidRPr="0043676D">
        <w:rPr>
          <w:iCs/>
        </w:rPr>
        <w:t xml:space="preserve"> буџетске политике Општине. Такође, </w:t>
      </w:r>
      <w:r w:rsidR="007E1591">
        <w:rPr>
          <w:iCs/>
        </w:rPr>
        <w:t xml:space="preserve">и </w:t>
      </w:r>
      <w:r w:rsidRPr="0043676D">
        <w:rPr>
          <w:iCs/>
        </w:rPr>
        <w:t>у наредној фискалној години неопходно је утицати на повећано остварење непореских прихода,</w:t>
      </w:r>
      <w:r w:rsidR="0043676D">
        <w:rPr>
          <w:iCs/>
        </w:rPr>
        <w:t xml:space="preserve"> те на смањење текуће потрошње,у</w:t>
      </w:r>
      <w:r w:rsidR="00F13505">
        <w:rPr>
          <w:iCs/>
        </w:rPr>
        <w:t xml:space="preserve"> циљу</w:t>
      </w:r>
      <w:r w:rsidRPr="0043676D">
        <w:rPr>
          <w:iCs/>
        </w:rPr>
        <w:t xml:space="preserve"> покрић</w:t>
      </w:r>
      <w:r w:rsidR="00F13505">
        <w:rPr>
          <w:iCs/>
        </w:rPr>
        <w:t>а</w:t>
      </w:r>
      <w:r w:rsidR="0043676D">
        <w:rPr>
          <w:iCs/>
        </w:rPr>
        <w:t xml:space="preserve"> кумулираног дефицита</w:t>
      </w:r>
      <w:r w:rsidRPr="0043676D">
        <w:rPr>
          <w:iCs/>
        </w:rPr>
        <w:t>. Као приоритет треба ставити покриће дефицита који се кумулирао из претх</w:t>
      </w:r>
      <w:r w:rsidR="00777E54">
        <w:rPr>
          <w:iCs/>
        </w:rPr>
        <w:t>о</w:t>
      </w:r>
      <w:r w:rsidR="007E1591">
        <w:rPr>
          <w:iCs/>
        </w:rPr>
        <w:t>дних година, тако да се и у 2022</w:t>
      </w:r>
      <w:r w:rsidRPr="0043676D">
        <w:rPr>
          <w:iCs/>
        </w:rPr>
        <w:t>.години мора водити рачуна о стварању нових обавеза.</w:t>
      </w:r>
    </w:p>
    <w:p w:rsidR="001160E2" w:rsidRPr="0043676D" w:rsidRDefault="001160E2" w:rsidP="0043676D">
      <w:pPr>
        <w:jc w:val="both"/>
        <w:rPr>
          <w:iCs/>
        </w:rPr>
      </w:pPr>
      <w:r w:rsidRPr="0043676D">
        <w:rPr>
          <w:iCs/>
        </w:rPr>
        <w:t>Локална власт је опредијељена да се у наредној години расположива средства усмјере за: развој и унапређење пољопривреде, унапређење образовања, подршку пораста породице, финансирање социјалне и здравствене заштите, наставак суфинансирања за урбани развој локалне заједнице – саобраћајне инфраструктуре, комуналне инфраструктуре, наставак започетих капиталних пројеката, унапређење туризма, и др.</w:t>
      </w:r>
    </w:p>
    <w:p w:rsidR="001160E2" w:rsidRPr="00171579" w:rsidRDefault="001160E2" w:rsidP="0043676D">
      <w:pPr>
        <w:jc w:val="both"/>
        <w:rPr>
          <w:iCs/>
          <w:color w:val="FF0000"/>
        </w:rPr>
      </w:pPr>
      <w:r w:rsidRPr="0043676D">
        <w:rPr>
          <w:iCs/>
        </w:rPr>
        <w:t>У складу са ануитетним плановима приоритетно се планира уредно сервисирање дуга према кредитору (за кредите</w:t>
      </w:r>
      <w:r w:rsidR="00F13505">
        <w:rPr>
          <w:iCs/>
        </w:rPr>
        <w:t>)</w:t>
      </w:r>
      <w:r w:rsidRPr="0043676D">
        <w:rPr>
          <w:iCs/>
        </w:rPr>
        <w:t xml:space="preserve"> из редовних прихода Општине </w:t>
      </w:r>
      <w:r w:rsidR="00F13505">
        <w:rPr>
          <w:iCs/>
        </w:rPr>
        <w:t>Невесиње</w:t>
      </w:r>
      <w:r w:rsidRPr="0043676D">
        <w:rPr>
          <w:iCs/>
        </w:rPr>
        <w:t xml:space="preserve">. </w:t>
      </w:r>
    </w:p>
    <w:p w:rsidR="001160E2" w:rsidRPr="0043676D" w:rsidRDefault="001160E2" w:rsidP="0043676D">
      <w:pPr>
        <w:jc w:val="both"/>
        <w:rPr>
          <w:iCs/>
        </w:rPr>
      </w:pPr>
      <w:r w:rsidRPr="0043676D">
        <w:rPr>
          <w:iCs/>
        </w:rPr>
        <w:t>Ради конзистентне интегрисаности у јединствен буџетски систем вишег нивоа власти намјера је да се сви расходи буџета прикажу у складу са захтјевима буџетске класификације (економске, организационе и функционалне), при чему се посебно презентује оперативни и капитални дио буџета. Опредјељење је да се сачини јасан и разумљив документ за јавност.</w:t>
      </w:r>
    </w:p>
    <w:p w:rsidR="001160E2" w:rsidRPr="0043676D" w:rsidRDefault="001160E2" w:rsidP="0043676D">
      <w:pPr>
        <w:jc w:val="both"/>
        <w:rPr>
          <w:iCs/>
        </w:rPr>
      </w:pPr>
      <w:r w:rsidRPr="0043676D">
        <w:rPr>
          <w:iCs/>
        </w:rPr>
        <w:t>Од буџетских корисника се очекује да приликом израде приједлога својих финансијских планова уважавају наведене основе политике локалне власти те поштују утврђене</w:t>
      </w:r>
      <w:r w:rsidR="00777E54">
        <w:rPr>
          <w:iCs/>
        </w:rPr>
        <w:t xml:space="preserve"> </w:t>
      </w:r>
      <w:r w:rsidR="007E1591">
        <w:rPr>
          <w:iCs/>
        </w:rPr>
        <w:t>лимите буџетске потрошње за 2022</w:t>
      </w:r>
      <w:r w:rsidRPr="0043676D">
        <w:rPr>
          <w:iCs/>
        </w:rPr>
        <w:t xml:space="preserve">. годину. </w:t>
      </w:r>
    </w:p>
    <w:p w:rsidR="001160E2" w:rsidRPr="0043676D" w:rsidRDefault="001160E2" w:rsidP="0043676D">
      <w:pPr>
        <w:jc w:val="both"/>
        <w:rPr>
          <w:iCs/>
        </w:rPr>
      </w:pPr>
    </w:p>
    <w:p w:rsidR="009E1406" w:rsidRDefault="00F13505" w:rsidP="0043676D">
      <w:pPr>
        <w:jc w:val="both"/>
        <w:rPr>
          <w:b/>
          <w:iCs/>
        </w:rPr>
      </w:pPr>
      <w:r>
        <w:rPr>
          <w:b/>
          <w:iCs/>
        </w:rPr>
        <w:t>4.</w:t>
      </w:r>
      <w:r w:rsidR="001160E2" w:rsidRPr="00F13505">
        <w:rPr>
          <w:b/>
          <w:iCs/>
        </w:rPr>
        <w:t xml:space="preserve">Пројекције буџетских средстава општине </w:t>
      </w:r>
      <w:r w:rsidR="008B4AFA">
        <w:rPr>
          <w:b/>
          <w:iCs/>
        </w:rPr>
        <w:t>Невесиње</w:t>
      </w:r>
      <w:r w:rsidR="007E1591">
        <w:rPr>
          <w:b/>
          <w:iCs/>
        </w:rPr>
        <w:t xml:space="preserve"> за 2022</w:t>
      </w:r>
      <w:r w:rsidR="001160E2" w:rsidRPr="00F13505">
        <w:rPr>
          <w:b/>
          <w:iCs/>
        </w:rPr>
        <w:t xml:space="preserve">. годину и лимити </w:t>
      </w:r>
    </w:p>
    <w:p w:rsidR="009E1406" w:rsidRDefault="008B4AFA" w:rsidP="0043676D">
      <w:pPr>
        <w:jc w:val="both"/>
        <w:rPr>
          <w:b/>
          <w:iCs/>
        </w:rPr>
      </w:pPr>
      <w:r>
        <w:rPr>
          <w:b/>
          <w:iCs/>
        </w:rPr>
        <w:t>п</w:t>
      </w:r>
      <w:r w:rsidR="009E1406">
        <w:rPr>
          <w:b/>
          <w:iCs/>
        </w:rPr>
        <w:t>отрошње за буџетске кориснике</w:t>
      </w:r>
    </w:p>
    <w:p w:rsidR="009E1406" w:rsidRDefault="009E1406" w:rsidP="0043676D">
      <w:pPr>
        <w:jc w:val="both"/>
        <w:rPr>
          <w:b/>
          <w:iCs/>
        </w:rPr>
      </w:pPr>
    </w:p>
    <w:p w:rsidR="009E1406" w:rsidRDefault="001160E2" w:rsidP="0043676D">
      <w:pPr>
        <w:jc w:val="both"/>
        <w:rPr>
          <w:iCs/>
        </w:rPr>
      </w:pPr>
      <w:r w:rsidRPr="0043676D">
        <w:rPr>
          <w:iCs/>
        </w:rPr>
        <w:t xml:space="preserve">Уважавајући препоруке дате ДОБ-ом, те на основу анализе остварења прихода у протеклом периоду, утврђена је пројекција средстава у буџету општине </w:t>
      </w:r>
      <w:r w:rsidR="009E1406">
        <w:rPr>
          <w:iCs/>
        </w:rPr>
        <w:t>Невесиње</w:t>
      </w:r>
      <w:r w:rsidR="007E1591">
        <w:rPr>
          <w:iCs/>
        </w:rPr>
        <w:t xml:space="preserve"> за 2022</w:t>
      </w:r>
      <w:r w:rsidRPr="0043676D">
        <w:rPr>
          <w:iCs/>
        </w:rPr>
        <w:t xml:space="preserve">. годину: </w:t>
      </w:r>
    </w:p>
    <w:p w:rsidR="001160E2" w:rsidRPr="0043676D" w:rsidRDefault="001160E2" w:rsidP="0043676D">
      <w:pPr>
        <w:jc w:val="both"/>
        <w:rPr>
          <w:iCs/>
        </w:rPr>
      </w:pPr>
      <w:r w:rsidRPr="0043676D">
        <w:rPr>
          <w:iCs/>
        </w:rPr>
        <w:t>- у КМ</w:t>
      </w:r>
    </w:p>
    <w:p w:rsidR="001160E2" w:rsidRPr="007F556D" w:rsidRDefault="007E1591" w:rsidP="009E1406">
      <w:pPr>
        <w:pBdr>
          <w:top w:val="single" w:sz="4" w:space="1" w:color="auto"/>
          <w:bottom w:val="single" w:sz="4" w:space="1" w:color="auto"/>
        </w:pBdr>
        <w:rPr>
          <w:b/>
          <w:iCs/>
          <w:lang w:val="en-US"/>
        </w:rPr>
      </w:pPr>
      <w:r>
        <w:rPr>
          <w:b/>
          <w:iCs/>
        </w:rPr>
        <w:t>Врста прихода</w:t>
      </w:r>
      <w:r>
        <w:rPr>
          <w:b/>
          <w:iCs/>
        </w:rPr>
        <w:tab/>
        <w:t>Остварење 2020.</w:t>
      </w:r>
      <w:r>
        <w:rPr>
          <w:b/>
          <w:iCs/>
        </w:rPr>
        <w:tab/>
        <w:t>План 2021</w:t>
      </w:r>
      <w:r w:rsidR="00777E54" w:rsidRPr="00A80823">
        <w:rPr>
          <w:b/>
          <w:iCs/>
        </w:rPr>
        <w:t>.</w:t>
      </w:r>
      <w:r w:rsidR="00777E54" w:rsidRPr="00A80823">
        <w:rPr>
          <w:b/>
          <w:iCs/>
        </w:rPr>
        <w:tab/>
      </w:r>
      <w:r w:rsidR="00A66A8D" w:rsidRPr="00A80823">
        <w:rPr>
          <w:b/>
          <w:iCs/>
        </w:rPr>
        <w:t xml:space="preserve">   </w:t>
      </w:r>
      <w:r>
        <w:rPr>
          <w:b/>
          <w:iCs/>
        </w:rPr>
        <w:t>Пројекција 2022</w:t>
      </w:r>
      <w:r w:rsidR="007F556D">
        <w:rPr>
          <w:b/>
          <w:iCs/>
          <w:lang w:val="en-US"/>
        </w:rPr>
        <w:t>.</w:t>
      </w:r>
    </w:p>
    <w:p w:rsidR="00101FDE" w:rsidRPr="0052266D" w:rsidRDefault="001160E2" w:rsidP="00101FDE">
      <w:pPr>
        <w:rPr>
          <w:iCs/>
          <w:lang w:val="en-US"/>
        </w:rPr>
      </w:pPr>
      <w:r w:rsidRPr="0052266D">
        <w:rPr>
          <w:iCs/>
        </w:rPr>
        <w:t>Порески приходи</w:t>
      </w:r>
      <w:r w:rsidRPr="0052266D">
        <w:rPr>
          <w:iCs/>
        </w:rPr>
        <w:tab/>
      </w:r>
      <w:r w:rsidR="00A80823" w:rsidRPr="0052266D">
        <w:rPr>
          <w:iCs/>
          <w:lang w:val="sr-Latn-BA"/>
        </w:rPr>
        <w:t>5</w:t>
      </w:r>
      <w:r w:rsidR="00507A93" w:rsidRPr="0052266D">
        <w:rPr>
          <w:iCs/>
          <w:lang w:val="sr-Latn-BA"/>
        </w:rPr>
        <w:t>.584.126</w:t>
      </w:r>
      <w:r w:rsidRPr="0052266D">
        <w:rPr>
          <w:iCs/>
        </w:rPr>
        <w:tab/>
      </w:r>
      <w:r w:rsidR="00013992" w:rsidRPr="0052266D">
        <w:rPr>
          <w:iCs/>
          <w:lang w:val="sr-Latn-BA"/>
        </w:rPr>
        <w:tab/>
      </w:r>
      <w:r w:rsidR="00507A93" w:rsidRPr="0052266D">
        <w:rPr>
          <w:iCs/>
          <w:lang w:val="sr-Latn-BA"/>
        </w:rPr>
        <w:t>5.551.200</w:t>
      </w:r>
      <w:r w:rsidR="00013992" w:rsidRPr="0052266D">
        <w:rPr>
          <w:iCs/>
          <w:lang w:val="sr-Latn-BA"/>
        </w:rPr>
        <w:tab/>
      </w:r>
      <w:r w:rsidR="00A66A8D" w:rsidRPr="0052266D">
        <w:rPr>
          <w:iCs/>
        </w:rPr>
        <w:t xml:space="preserve">    </w:t>
      </w:r>
      <w:r w:rsidR="00507A93" w:rsidRPr="0052266D">
        <w:rPr>
          <w:iCs/>
          <w:lang w:val="en-US"/>
        </w:rPr>
        <w:t>6.100</w:t>
      </w:r>
      <w:r w:rsidR="00EE4A8F" w:rsidRPr="0052266D">
        <w:rPr>
          <w:iCs/>
          <w:lang w:val="en-US"/>
        </w:rPr>
        <w:t>.000</w:t>
      </w:r>
    </w:p>
    <w:p w:rsidR="001160E2" w:rsidRPr="0052266D" w:rsidRDefault="001160E2" w:rsidP="00101FDE">
      <w:pPr>
        <w:rPr>
          <w:iCs/>
        </w:rPr>
      </w:pPr>
      <w:r w:rsidRPr="0052266D">
        <w:rPr>
          <w:iCs/>
        </w:rPr>
        <w:t>Непорески приходи</w:t>
      </w:r>
      <w:r w:rsidRPr="0052266D">
        <w:rPr>
          <w:iCs/>
        </w:rPr>
        <w:tab/>
      </w:r>
      <w:r w:rsidR="00507A93" w:rsidRPr="0052266D">
        <w:rPr>
          <w:iCs/>
          <w:lang w:val="sr-Latn-BA"/>
        </w:rPr>
        <w:t xml:space="preserve">   533.049</w:t>
      </w:r>
      <w:r w:rsidR="00013992" w:rsidRPr="0052266D">
        <w:rPr>
          <w:iCs/>
          <w:lang w:val="sr-Latn-BA"/>
        </w:rPr>
        <w:tab/>
      </w:r>
      <w:r w:rsidR="00D94920" w:rsidRPr="0052266D">
        <w:rPr>
          <w:iCs/>
        </w:rPr>
        <w:t xml:space="preserve">               </w:t>
      </w:r>
      <w:r w:rsidR="00507A93" w:rsidRPr="0052266D">
        <w:rPr>
          <w:iCs/>
          <w:lang w:val="sr-Latn-BA"/>
        </w:rPr>
        <w:t>561.764</w:t>
      </w:r>
      <w:r w:rsidR="00D94920" w:rsidRPr="0052266D">
        <w:rPr>
          <w:iCs/>
        </w:rPr>
        <w:t xml:space="preserve">         </w:t>
      </w:r>
      <w:r w:rsidR="00A66A8D" w:rsidRPr="0052266D">
        <w:rPr>
          <w:iCs/>
        </w:rPr>
        <w:t xml:space="preserve">   </w:t>
      </w:r>
      <w:r w:rsidR="00D94920" w:rsidRPr="0052266D">
        <w:rPr>
          <w:iCs/>
        </w:rPr>
        <w:t xml:space="preserve">  </w:t>
      </w:r>
      <w:r w:rsidR="00EE4A8F" w:rsidRPr="0052266D">
        <w:rPr>
          <w:iCs/>
          <w:lang w:val="sr-Latn-BA"/>
        </w:rPr>
        <w:t>7</w:t>
      </w:r>
      <w:r w:rsidR="00931318" w:rsidRPr="0052266D">
        <w:rPr>
          <w:iCs/>
        </w:rPr>
        <w:t>0</w:t>
      </w:r>
      <w:r w:rsidR="00972B27" w:rsidRPr="0052266D">
        <w:rPr>
          <w:iCs/>
          <w:lang w:val="sr-Latn-BA"/>
        </w:rPr>
        <w:t>0.</w:t>
      </w:r>
      <w:r w:rsidR="00931318" w:rsidRPr="0052266D">
        <w:rPr>
          <w:iCs/>
        </w:rPr>
        <w:t>0</w:t>
      </w:r>
      <w:r w:rsidR="00972B27" w:rsidRPr="0052266D">
        <w:rPr>
          <w:iCs/>
          <w:lang w:val="sr-Latn-BA"/>
        </w:rPr>
        <w:t>00</w:t>
      </w:r>
    </w:p>
    <w:p w:rsidR="00F85CB2" w:rsidRPr="0052266D" w:rsidRDefault="001160E2" w:rsidP="001160E2">
      <w:pPr>
        <w:rPr>
          <w:iCs/>
          <w:lang w:val="sr-Latn-BA"/>
        </w:rPr>
      </w:pPr>
      <w:r w:rsidRPr="0052266D">
        <w:rPr>
          <w:iCs/>
        </w:rPr>
        <w:t>Укупно:</w:t>
      </w:r>
      <w:r w:rsidRPr="0052266D">
        <w:rPr>
          <w:iCs/>
        </w:rPr>
        <w:tab/>
      </w:r>
      <w:r w:rsidR="00507A93" w:rsidRPr="0052266D">
        <w:rPr>
          <w:iCs/>
          <w:lang w:val="en-US"/>
        </w:rPr>
        <w:t xml:space="preserve">             6.117.175</w:t>
      </w:r>
      <w:r w:rsidR="00013992" w:rsidRPr="0052266D">
        <w:rPr>
          <w:iCs/>
          <w:lang w:val="sr-Latn-BA"/>
        </w:rPr>
        <w:tab/>
      </w:r>
      <w:r w:rsidR="00507A93" w:rsidRPr="0052266D">
        <w:rPr>
          <w:iCs/>
          <w:lang w:val="sr-Latn-BA"/>
        </w:rPr>
        <w:t xml:space="preserve">             6.112.964</w:t>
      </w:r>
      <w:r w:rsidR="00A80823" w:rsidRPr="0052266D">
        <w:rPr>
          <w:iCs/>
          <w:lang w:val="sr-Latn-BA"/>
        </w:rPr>
        <w:t xml:space="preserve">            </w:t>
      </w:r>
      <w:r w:rsidR="00972B27" w:rsidRPr="0052266D">
        <w:rPr>
          <w:iCs/>
          <w:lang w:val="sr-Latn-BA"/>
        </w:rPr>
        <w:t>6.</w:t>
      </w:r>
      <w:r w:rsidR="00507A93" w:rsidRPr="0052266D">
        <w:rPr>
          <w:iCs/>
          <w:lang w:val="en-US"/>
        </w:rPr>
        <w:t>900</w:t>
      </w:r>
      <w:r w:rsidR="00931318" w:rsidRPr="0052266D">
        <w:rPr>
          <w:iCs/>
        </w:rPr>
        <w:t>.0</w:t>
      </w:r>
      <w:r w:rsidR="00972B27" w:rsidRPr="0052266D">
        <w:rPr>
          <w:iCs/>
          <w:lang w:val="sr-Latn-BA"/>
        </w:rPr>
        <w:t>00</w:t>
      </w:r>
    </w:p>
    <w:p w:rsidR="00101FDE" w:rsidRPr="00101FDE" w:rsidRDefault="00101FDE" w:rsidP="001160E2">
      <w:pPr>
        <w:rPr>
          <w:b/>
          <w:iCs/>
          <w:lang w:val="sr-Latn-BA"/>
        </w:rPr>
      </w:pPr>
    </w:p>
    <w:p w:rsidR="001160E2" w:rsidRDefault="001160E2" w:rsidP="00F85CB2">
      <w:pPr>
        <w:jc w:val="both"/>
        <w:rPr>
          <w:iCs/>
        </w:rPr>
      </w:pPr>
      <w:r w:rsidRPr="00F85CB2">
        <w:rPr>
          <w:iCs/>
        </w:rPr>
        <w:t xml:space="preserve">У структури укупно очекиваних средстава није приказана процјена текућих и капиталних помоћи, као и примици од продаје имовине. Реално је очекивати да ће се обезбиједити дио средстава </w:t>
      </w:r>
      <w:r w:rsidRPr="00101FDE">
        <w:rPr>
          <w:iCs/>
        </w:rPr>
        <w:t>по основу суфинансирања пројеката у мјесним заједницама од стране грађана</w:t>
      </w:r>
      <w:r w:rsidR="006345FF">
        <w:rPr>
          <w:iCs/>
        </w:rPr>
        <w:t xml:space="preserve"> и невладиних организација.</w:t>
      </w:r>
    </w:p>
    <w:p w:rsidR="008F4478" w:rsidRDefault="008F4478" w:rsidP="00F85CB2">
      <w:pPr>
        <w:jc w:val="both"/>
        <w:rPr>
          <w:iCs/>
        </w:rPr>
      </w:pPr>
      <w:r>
        <w:rPr>
          <w:iCs/>
        </w:rPr>
        <w:t>Приједлог оквирног износа буџетских издатака за корис</w:t>
      </w:r>
      <w:r w:rsidR="007E1591">
        <w:rPr>
          <w:iCs/>
        </w:rPr>
        <w:t>нике буџетских средстава за 2022</w:t>
      </w:r>
      <w:r>
        <w:rPr>
          <w:iCs/>
        </w:rPr>
        <w:t>.годин</w:t>
      </w:r>
      <w:r w:rsidR="00A66A8D">
        <w:rPr>
          <w:iCs/>
        </w:rPr>
        <w:t>у</w:t>
      </w:r>
      <w:r>
        <w:rPr>
          <w:iCs/>
        </w:rPr>
        <w:t xml:space="preserve"> је:</w:t>
      </w:r>
    </w:p>
    <w:p w:rsidR="00A66A8D" w:rsidRDefault="00A66A8D" w:rsidP="00F85CB2">
      <w:pPr>
        <w:jc w:val="both"/>
        <w:rPr>
          <w:iCs/>
        </w:rPr>
      </w:pPr>
    </w:p>
    <w:p w:rsidR="008F4478" w:rsidRPr="008C7BDA" w:rsidRDefault="008F4478" w:rsidP="008F4478">
      <w:pPr>
        <w:pStyle w:val="ListParagraph"/>
        <w:numPr>
          <w:ilvl w:val="0"/>
          <w:numId w:val="17"/>
        </w:numPr>
        <w:jc w:val="both"/>
        <w:rPr>
          <w:iCs/>
        </w:rPr>
      </w:pPr>
      <w:r w:rsidRPr="008C7BDA">
        <w:rPr>
          <w:iCs/>
        </w:rPr>
        <w:t>ЈУ Центар за социјални рад</w:t>
      </w:r>
      <w:r w:rsidR="003C76BA" w:rsidRPr="008C7BDA">
        <w:rPr>
          <w:iCs/>
          <w:lang w:val="en-US"/>
        </w:rPr>
        <w:t>……………………………………….</w:t>
      </w:r>
      <w:r w:rsidR="00F109F0" w:rsidRPr="008C7BDA">
        <w:rPr>
          <w:iCs/>
          <w:lang w:val="sr-Cyrl-BA"/>
        </w:rPr>
        <w:t xml:space="preserve"> 1.0</w:t>
      </w:r>
      <w:r w:rsidR="00AF5F53" w:rsidRPr="008C7BDA">
        <w:rPr>
          <w:iCs/>
          <w:lang w:val="sr-Cyrl-BA"/>
        </w:rPr>
        <w:t>60.000</w:t>
      </w:r>
    </w:p>
    <w:p w:rsidR="005E68AF" w:rsidRPr="008C7BDA" w:rsidRDefault="005E68AF" w:rsidP="00171579">
      <w:pPr>
        <w:pStyle w:val="ListParagraph"/>
        <w:numPr>
          <w:ilvl w:val="0"/>
          <w:numId w:val="17"/>
        </w:numPr>
        <w:jc w:val="both"/>
        <w:rPr>
          <w:iCs/>
        </w:rPr>
      </w:pPr>
      <w:r w:rsidRPr="008C7BDA">
        <w:rPr>
          <w:iCs/>
          <w:lang w:val="sr-Cyrl-BA"/>
        </w:rPr>
        <w:lastRenderedPageBreak/>
        <w:t>Територијална ватрогасна јединица</w:t>
      </w:r>
      <w:r w:rsidR="004279C8" w:rsidRPr="008C7BDA">
        <w:rPr>
          <w:iCs/>
          <w:lang w:val="en-US"/>
        </w:rPr>
        <w:t xml:space="preserve">…………………………….. </w:t>
      </w:r>
      <w:r w:rsidR="002D52B9" w:rsidRPr="008C7BDA">
        <w:rPr>
          <w:iCs/>
          <w:lang w:val="sr-Cyrl-BA"/>
        </w:rPr>
        <w:t xml:space="preserve">   3</w:t>
      </w:r>
      <w:r w:rsidR="008C7BDA" w:rsidRPr="008C7BDA">
        <w:rPr>
          <w:iCs/>
          <w:lang w:val="en-US"/>
        </w:rPr>
        <w:t>7</w:t>
      </w:r>
      <w:r w:rsidR="00393874" w:rsidRPr="008C7BDA">
        <w:rPr>
          <w:iCs/>
          <w:lang w:val="sr-Cyrl-BA"/>
        </w:rPr>
        <w:t>0</w:t>
      </w:r>
      <w:r w:rsidR="00277650" w:rsidRPr="008C7BDA">
        <w:rPr>
          <w:iCs/>
          <w:lang w:val="en-US"/>
        </w:rPr>
        <w:t>.000</w:t>
      </w:r>
    </w:p>
    <w:p w:rsidR="005E68AF" w:rsidRPr="008C7BDA" w:rsidRDefault="005E68AF" w:rsidP="008F4478">
      <w:pPr>
        <w:pStyle w:val="ListParagraph"/>
        <w:numPr>
          <w:ilvl w:val="0"/>
          <w:numId w:val="17"/>
        </w:numPr>
        <w:jc w:val="both"/>
        <w:rPr>
          <w:iCs/>
        </w:rPr>
      </w:pPr>
      <w:r w:rsidRPr="008C7BDA">
        <w:rPr>
          <w:iCs/>
          <w:lang w:val="sr-Cyrl-BA"/>
        </w:rPr>
        <w:t>ЈУ Дјечији вртић Св.Евгенија Царица Милица</w:t>
      </w:r>
      <w:r w:rsidR="00277650" w:rsidRPr="008C7BDA">
        <w:rPr>
          <w:iCs/>
          <w:lang w:val="en-US"/>
        </w:rPr>
        <w:t>…………………</w:t>
      </w:r>
      <w:r w:rsidR="002D52B9" w:rsidRPr="008C7BDA">
        <w:rPr>
          <w:iCs/>
          <w:lang w:val="sr-Cyrl-BA"/>
        </w:rPr>
        <w:t xml:space="preserve">   2</w:t>
      </w:r>
      <w:r w:rsidR="009B294B" w:rsidRPr="008C7BDA">
        <w:rPr>
          <w:iCs/>
          <w:lang w:val="en-US"/>
        </w:rPr>
        <w:t>1</w:t>
      </w:r>
      <w:r w:rsidR="008C7BDA" w:rsidRPr="008C7BDA">
        <w:rPr>
          <w:iCs/>
          <w:lang w:val="en-US"/>
        </w:rPr>
        <w:t>5</w:t>
      </w:r>
      <w:r w:rsidR="00393874" w:rsidRPr="008C7BDA">
        <w:rPr>
          <w:iCs/>
          <w:lang w:val="sr-Cyrl-BA"/>
        </w:rPr>
        <w:t>.000</w:t>
      </w:r>
    </w:p>
    <w:p w:rsidR="005E68AF" w:rsidRPr="008C7BDA" w:rsidRDefault="005E68AF" w:rsidP="008F4478">
      <w:pPr>
        <w:pStyle w:val="ListParagraph"/>
        <w:numPr>
          <w:ilvl w:val="0"/>
          <w:numId w:val="17"/>
        </w:numPr>
        <w:jc w:val="both"/>
        <w:rPr>
          <w:iCs/>
        </w:rPr>
      </w:pPr>
      <w:r w:rsidRPr="008C7BDA">
        <w:rPr>
          <w:iCs/>
          <w:lang w:val="sr-Cyrl-BA"/>
        </w:rPr>
        <w:t>СШЦ“Алекса Шантић“</w:t>
      </w:r>
      <w:r w:rsidR="003C76BA" w:rsidRPr="008C7BDA">
        <w:rPr>
          <w:iCs/>
          <w:lang w:val="en-US"/>
        </w:rPr>
        <w:t>……………………………………………</w:t>
      </w:r>
      <w:bookmarkStart w:id="0" w:name="_GoBack"/>
      <w:bookmarkEnd w:id="0"/>
      <w:r w:rsidR="003C76BA" w:rsidRPr="008C7BDA">
        <w:rPr>
          <w:iCs/>
          <w:lang w:val="en-US"/>
        </w:rPr>
        <w:t>.</w:t>
      </w:r>
      <w:r w:rsidR="00277650" w:rsidRPr="008C7BDA">
        <w:rPr>
          <w:iCs/>
          <w:lang w:val="en-US"/>
        </w:rPr>
        <w:t>.</w:t>
      </w:r>
      <w:r w:rsidR="002D52B9" w:rsidRPr="008C7BDA">
        <w:rPr>
          <w:iCs/>
          <w:lang w:val="sr-Cyrl-BA"/>
        </w:rPr>
        <w:t xml:space="preserve">  </w:t>
      </w:r>
      <w:r w:rsidR="00277650" w:rsidRPr="008C7BDA">
        <w:rPr>
          <w:iCs/>
          <w:lang w:val="en-US"/>
        </w:rPr>
        <w:t>8</w:t>
      </w:r>
      <w:r w:rsidR="008C7BDA" w:rsidRPr="008C7BDA">
        <w:rPr>
          <w:iCs/>
          <w:lang w:val="en-US"/>
        </w:rPr>
        <w:t>0</w:t>
      </w:r>
      <w:r w:rsidR="00277650" w:rsidRPr="008C7BDA">
        <w:rPr>
          <w:iCs/>
          <w:lang w:val="en-US"/>
        </w:rPr>
        <w:t>.000</w:t>
      </w:r>
    </w:p>
    <w:p w:rsidR="005E68AF" w:rsidRPr="008C7BDA" w:rsidRDefault="005E68AF" w:rsidP="008F4478">
      <w:pPr>
        <w:pStyle w:val="ListParagraph"/>
        <w:numPr>
          <w:ilvl w:val="0"/>
          <w:numId w:val="17"/>
        </w:numPr>
        <w:jc w:val="both"/>
        <w:rPr>
          <w:iCs/>
        </w:rPr>
      </w:pPr>
      <w:r w:rsidRPr="008C7BDA">
        <w:rPr>
          <w:iCs/>
          <w:lang w:val="sr-Cyrl-BA"/>
        </w:rPr>
        <w:t>Народна библиотека</w:t>
      </w:r>
      <w:r w:rsidR="003C76BA" w:rsidRPr="008C7BDA">
        <w:rPr>
          <w:iCs/>
          <w:lang w:val="en-US"/>
        </w:rPr>
        <w:t>………………………………………………..</w:t>
      </w:r>
      <w:r w:rsidR="00277650" w:rsidRPr="008C7BDA">
        <w:rPr>
          <w:iCs/>
          <w:lang w:val="en-US"/>
        </w:rPr>
        <w:t xml:space="preserve"> </w:t>
      </w:r>
      <w:r w:rsidR="002D52B9" w:rsidRPr="008C7BDA">
        <w:rPr>
          <w:iCs/>
          <w:lang w:val="sr-Cyrl-BA"/>
        </w:rPr>
        <w:t xml:space="preserve">  </w:t>
      </w:r>
      <w:r w:rsidR="00277650" w:rsidRPr="008C7BDA">
        <w:rPr>
          <w:iCs/>
          <w:lang w:val="en-US"/>
        </w:rPr>
        <w:t>13.000</w:t>
      </w:r>
    </w:p>
    <w:p w:rsidR="00171579" w:rsidRPr="008C7BDA" w:rsidRDefault="00171579" w:rsidP="008F4478">
      <w:pPr>
        <w:pStyle w:val="ListParagraph"/>
        <w:numPr>
          <w:ilvl w:val="0"/>
          <w:numId w:val="17"/>
        </w:numPr>
        <w:jc w:val="both"/>
        <w:rPr>
          <w:iCs/>
        </w:rPr>
      </w:pPr>
      <w:r w:rsidRPr="008C7BDA">
        <w:rPr>
          <w:iCs/>
          <w:lang w:val="sr-Cyrl-BA"/>
        </w:rPr>
        <w:t>Центар за информисање и културу</w:t>
      </w:r>
      <w:r w:rsidR="003C76BA" w:rsidRPr="008C7BDA">
        <w:rPr>
          <w:iCs/>
          <w:lang w:val="en-US"/>
        </w:rPr>
        <w:t>……………………………….</w:t>
      </w:r>
      <w:r w:rsidR="002D52B9" w:rsidRPr="008C7BDA">
        <w:rPr>
          <w:iCs/>
          <w:lang w:val="sr-Cyrl-BA"/>
        </w:rPr>
        <w:t xml:space="preserve">  </w:t>
      </w:r>
      <w:r w:rsidR="004279C8" w:rsidRPr="008C7BDA">
        <w:rPr>
          <w:iCs/>
          <w:lang w:val="en-US"/>
        </w:rPr>
        <w:t>1</w:t>
      </w:r>
      <w:r w:rsidR="008C7BDA" w:rsidRPr="008C7BDA">
        <w:rPr>
          <w:iCs/>
          <w:lang w:val="en-US"/>
        </w:rPr>
        <w:t>9</w:t>
      </w:r>
      <w:r w:rsidR="002D52B9" w:rsidRPr="008C7BDA">
        <w:rPr>
          <w:iCs/>
          <w:lang w:val="sr-Cyrl-BA"/>
        </w:rPr>
        <w:t>0</w:t>
      </w:r>
      <w:r w:rsidR="00277650" w:rsidRPr="008C7BDA">
        <w:rPr>
          <w:iCs/>
          <w:lang w:val="en-US"/>
        </w:rPr>
        <w:t>.000</w:t>
      </w:r>
    </w:p>
    <w:p w:rsidR="00171579" w:rsidRPr="008C7BDA" w:rsidRDefault="00171579" w:rsidP="008F4478">
      <w:pPr>
        <w:pStyle w:val="ListParagraph"/>
        <w:numPr>
          <w:ilvl w:val="0"/>
          <w:numId w:val="17"/>
        </w:numPr>
        <w:jc w:val="both"/>
        <w:rPr>
          <w:iCs/>
        </w:rPr>
      </w:pPr>
      <w:r w:rsidRPr="008C7BDA">
        <w:rPr>
          <w:iCs/>
          <w:lang w:val="sr-Cyrl-BA"/>
        </w:rPr>
        <w:t>Туристичка организација Невесиње</w:t>
      </w:r>
      <w:r w:rsidR="003C76BA" w:rsidRPr="008C7BDA">
        <w:rPr>
          <w:iCs/>
          <w:lang w:val="en-US"/>
        </w:rPr>
        <w:t>……………………………....</w:t>
      </w:r>
      <w:r w:rsidR="004279C8" w:rsidRPr="008C7BDA">
        <w:rPr>
          <w:iCs/>
          <w:lang w:val="en-US"/>
        </w:rPr>
        <w:t>.</w:t>
      </w:r>
      <w:r w:rsidR="009B294B" w:rsidRPr="008C7BDA">
        <w:rPr>
          <w:iCs/>
          <w:lang w:val="sr-Cyrl-BA"/>
        </w:rPr>
        <w:t xml:space="preserve">  </w:t>
      </w:r>
      <w:r w:rsidR="008C7BDA" w:rsidRPr="008C7BDA">
        <w:rPr>
          <w:iCs/>
          <w:lang w:val="en-US"/>
        </w:rPr>
        <w:t>95</w:t>
      </w:r>
      <w:r w:rsidR="00277650" w:rsidRPr="008C7BDA">
        <w:rPr>
          <w:iCs/>
          <w:lang w:val="en-US"/>
        </w:rPr>
        <w:t>.000</w:t>
      </w:r>
    </w:p>
    <w:p w:rsidR="008F4478" w:rsidRDefault="008F4478" w:rsidP="00F85CB2">
      <w:pPr>
        <w:jc w:val="both"/>
        <w:rPr>
          <w:iCs/>
        </w:rPr>
      </w:pPr>
    </w:p>
    <w:p w:rsidR="008F4478" w:rsidRPr="00F85CB2" w:rsidRDefault="008F4478" w:rsidP="00F85CB2">
      <w:pPr>
        <w:jc w:val="both"/>
        <w:rPr>
          <w:iCs/>
        </w:rPr>
      </w:pPr>
    </w:p>
    <w:p w:rsidR="001160E2" w:rsidRPr="00CF43FF" w:rsidRDefault="006F016E" w:rsidP="00F85CB2">
      <w:pPr>
        <w:jc w:val="both"/>
        <w:rPr>
          <w:iCs/>
        </w:rPr>
      </w:pPr>
      <w:r w:rsidRPr="00CF43FF">
        <w:rPr>
          <w:iCs/>
        </w:rPr>
        <w:t xml:space="preserve">Буџет </w:t>
      </w:r>
      <w:r w:rsidR="007E1591">
        <w:rPr>
          <w:iCs/>
        </w:rPr>
        <w:t>за 2021</w:t>
      </w:r>
      <w:r w:rsidR="001160E2" w:rsidRPr="00CF43FF">
        <w:rPr>
          <w:iCs/>
        </w:rPr>
        <w:t xml:space="preserve">. годину по основу пореских и непореских прихода је планиран у износу од </w:t>
      </w:r>
      <w:r w:rsidR="00AB0988" w:rsidRPr="00AB0988">
        <w:rPr>
          <w:iCs/>
          <w:color w:val="000000" w:themeColor="text1"/>
          <w:lang w:val="sr-Latn-BA"/>
        </w:rPr>
        <w:t>6.112.964</w:t>
      </w:r>
      <w:r w:rsidR="001160E2" w:rsidRPr="00CF43FF">
        <w:rPr>
          <w:iCs/>
        </w:rPr>
        <w:t xml:space="preserve"> </w:t>
      </w:r>
      <w:r w:rsidRPr="00CF43FF">
        <w:rPr>
          <w:iCs/>
        </w:rPr>
        <w:t>К</w:t>
      </w:r>
      <w:r w:rsidR="007E1591">
        <w:rPr>
          <w:iCs/>
        </w:rPr>
        <w:t>М, а остварење за 6 мјесеци 2021</w:t>
      </w:r>
      <w:r w:rsidR="001160E2" w:rsidRPr="00CF43FF">
        <w:rPr>
          <w:iCs/>
        </w:rPr>
        <w:t xml:space="preserve">. године износи </w:t>
      </w:r>
      <w:r w:rsidR="0052266D" w:rsidRPr="0052266D">
        <w:rPr>
          <w:iCs/>
          <w:lang w:val="sr-Latn-BA"/>
        </w:rPr>
        <w:t>3.287.310</w:t>
      </w:r>
      <w:r w:rsidR="001160E2" w:rsidRPr="0052266D">
        <w:rPr>
          <w:iCs/>
        </w:rPr>
        <w:t xml:space="preserve"> КМ.</w:t>
      </w:r>
    </w:p>
    <w:p w:rsidR="00F9186C" w:rsidRDefault="001160E2" w:rsidP="00F85CB2">
      <w:pPr>
        <w:jc w:val="both"/>
        <w:rPr>
          <w:iCs/>
          <w:lang w:val="en-US"/>
        </w:rPr>
      </w:pPr>
      <w:r w:rsidRPr="00F85CB2">
        <w:rPr>
          <w:iCs/>
        </w:rPr>
        <w:t xml:space="preserve">Извршење у првих шест мјесеци код пореских прихода је око </w:t>
      </w:r>
      <w:r w:rsidR="0052266D" w:rsidRPr="0052266D">
        <w:rPr>
          <w:iCs/>
          <w:lang w:val="en-US"/>
        </w:rPr>
        <w:t>54</w:t>
      </w:r>
      <w:r w:rsidRPr="0052266D">
        <w:rPr>
          <w:iCs/>
        </w:rPr>
        <w:t>%</w:t>
      </w:r>
      <w:r w:rsidRPr="00393874">
        <w:rPr>
          <w:iCs/>
          <w:color w:val="000000" w:themeColor="text1"/>
        </w:rPr>
        <w:t>.</w:t>
      </w:r>
      <w:r w:rsidRPr="00F85CB2">
        <w:rPr>
          <w:iCs/>
        </w:rPr>
        <w:t xml:space="preserve"> Према подацима Пореске управе и у следећој години ће бити раз</w:t>
      </w:r>
      <w:r w:rsidR="00CF43FF">
        <w:rPr>
          <w:iCs/>
        </w:rPr>
        <w:t>рез на сличном нивоу као и у 20</w:t>
      </w:r>
      <w:r w:rsidR="007E1591">
        <w:rPr>
          <w:iCs/>
        </w:rPr>
        <w:t>20</w:t>
      </w:r>
      <w:r w:rsidRPr="00F85CB2">
        <w:rPr>
          <w:iCs/>
        </w:rPr>
        <w:t>.години. А на бази н</w:t>
      </w:r>
      <w:r w:rsidR="00777E54">
        <w:rPr>
          <w:iCs/>
        </w:rPr>
        <w:t>а</w:t>
      </w:r>
      <w:r w:rsidR="007E1591">
        <w:rPr>
          <w:iCs/>
        </w:rPr>
        <w:t>веденог и података из ДОБ-а 2022</w:t>
      </w:r>
      <w:r w:rsidRPr="00F85CB2">
        <w:rPr>
          <w:iCs/>
        </w:rPr>
        <w:t>-20</w:t>
      </w:r>
      <w:r w:rsidR="007E1591">
        <w:rPr>
          <w:iCs/>
        </w:rPr>
        <w:t>24</w:t>
      </w:r>
      <w:r w:rsidRPr="00F85CB2">
        <w:rPr>
          <w:iCs/>
        </w:rPr>
        <w:t xml:space="preserve"> заснована је пр</w:t>
      </w:r>
      <w:r w:rsidR="00777E54">
        <w:rPr>
          <w:iCs/>
        </w:rPr>
        <w:t>о</w:t>
      </w:r>
      <w:r w:rsidR="007E1591">
        <w:rPr>
          <w:iCs/>
        </w:rPr>
        <w:t>јекција ове врсте прихода у 2022</w:t>
      </w:r>
      <w:r w:rsidR="00A66A8D">
        <w:rPr>
          <w:iCs/>
        </w:rPr>
        <w:t>. г</w:t>
      </w:r>
      <w:r w:rsidR="002D52B9">
        <w:rPr>
          <w:iCs/>
        </w:rPr>
        <w:t>одини.</w:t>
      </w:r>
      <w:r w:rsidRPr="00EE2824">
        <w:rPr>
          <w:iCs/>
        </w:rPr>
        <w:t xml:space="preserve"> Обавеза је буџетских корисника да анализирају</w:t>
      </w:r>
      <w:r w:rsidRPr="00F85CB2">
        <w:rPr>
          <w:iCs/>
        </w:rPr>
        <w:t xml:space="preserve"> своје властите приходе као и приходе које остварују својим радом како би се евентуално повећала средства по овом основу у наредном периоду што би свакако утицало на висину буџетског оквира. Код непореских прих</w:t>
      </w:r>
      <w:r w:rsidR="00CF43FF">
        <w:rPr>
          <w:iCs/>
        </w:rPr>
        <w:t>ода извршење за шест мјесеци 20</w:t>
      </w:r>
      <w:r w:rsidR="007E1591">
        <w:rPr>
          <w:iCs/>
          <w:lang w:val="en-US"/>
        </w:rPr>
        <w:t>2</w:t>
      </w:r>
      <w:r w:rsidR="007E1591">
        <w:rPr>
          <w:iCs/>
        </w:rPr>
        <w:t>1</w:t>
      </w:r>
      <w:r w:rsidRPr="00F85CB2">
        <w:rPr>
          <w:iCs/>
        </w:rPr>
        <w:t xml:space="preserve">.године је </w:t>
      </w:r>
      <w:r w:rsidR="0052266D" w:rsidRPr="0052266D">
        <w:rPr>
          <w:iCs/>
          <w:lang w:val="en-US"/>
        </w:rPr>
        <w:t>53</w:t>
      </w:r>
      <w:r w:rsidR="00393874" w:rsidRPr="0052266D">
        <w:rPr>
          <w:iCs/>
        </w:rPr>
        <w:t xml:space="preserve"> </w:t>
      </w:r>
      <w:r w:rsidR="00393874">
        <w:rPr>
          <w:iCs/>
        </w:rPr>
        <w:t>%</w:t>
      </w:r>
      <w:r w:rsidR="0001601D">
        <w:rPr>
          <w:iCs/>
        </w:rPr>
        <w:t xml:space="preserve"> </w:t>
      </w:r>
      <w:r w:rsidR="00CF43FF">
        <w:rPr>
          <w:iCs/>
        </w:rPr>
        <w:t>у односу на план 20</w:t>
      </w:r>
      <w:r w:rsidR="007E1591">
        <w:rPr>
          <w:iCs/>
          <w:lang w:val="en-US"/>
        </w:rPr>
        <w:t>2</w:t>
      </w:r>
      <w:r w:rsidR="007E1591">
        <w:rPr>
          <w:iCs/>
        </w:rPr>
        <w:t>1</w:t>
      </w:r>
      <w:r w:rsidRPr="00F85CB2">
        <w:rPr>
          <w:iCs/>
        </w:rPr>
        <w:t>.годин</w:t>
      </w:r>
      <w:r w:rsidR="008B4AFA">
        <w:rPr>
          <w:iCs/>
        </w:rPr>
        <w:t>е</w:t>
      </w:r>
      <w:r w:rsidR="007F556D">
        <w:rPr>
          <w:iCs/>
          <w:lang w:val="en-US"/>
        </w:rPr>
        <w:t>.</w:t>
      </w:r>
    </w:p>
    <w:p w:rsidR="001160E2" w:rsidRPr="00F85CB2" w:rsidRDefault="007E1591" w:rsidP="00F85CB2">
      <w:pPr>
        <w:jc w:val="both"/>
        <w:rPr>
          <w:iCs/>
        </w:rPr>
      </w:pPr>
      <w:r>
        <w:rPr>
          <w:iCs/>
        </w:rPr>
        <w:t>У буџетској 2022</w:t>
      </w:r>
      <w:r w:rsidR="001160E2" w:rsidRPr="00F9186C">
        <w:rPr>
          <w:iCs/>
        </w:rPr>
        <w:t>. години приливи по основу финансирања (задуживања) се не планирају.</w:t>
      </w:r>
    </w:p>
    <w:p w:rsidR="001160E2" w:rsidRPr="00F85CB2" w:rsidRDefault="001160E2" w:rsidP="00F85CB2">
      <w:pPr>
        <w:jc w:val="both"/>
        <w:rPr>
          <w:iCs/>
        </w:rPr>
      </w:pPr>
      <w:r w:rsidRPr="00F85CB2">
        <w:rPr>
          <w:iCs/>
        </w:rPr>
        <w:t xml:space="preserve">На бази економских претпоставки при пројекцији буџетских средстава предлаже се да при планирању буџетског оквира потрошње, буџетски корисници </w:t>
      </w:r>
      <w:r w:rsidR="00777E54">
        <w:rPr>
          <w:iCs/>
        </w:rPr>
        <w:t>п</w:t>
      </w:r>
      <w:r w:rsidR="007E1591">
        <w:rPr>
          <w:iCs/>
        </w:rPr>
        <w:t>ланирају средства/издатке у 2022</w:t>
      </w:r>
      <w:r w:rsidRPr="00F85CB2">
        <w:rPr>
          <w:iCs/>
        </w:rPr>
        <w:t xml:space="preserve">. години </w:t>
      </w:r>
      <w:r w:rsidR="008B4AFA">
        <w:rPr>
          <w:iCs/>
        </w:rPr>
        <w:t>на</w:t>
      </w:r>
      <w:r w:rsidRPr="00F85CB2">
        <w:rPr>
          <w:iCs/>
        </w:rPr>
        <w:t xml:space="preserve"> ист</w:t>
      </w:r>
      <w:r w:rsidR="004328BC">
        <w:rPr>
          <w:iCs/>
        </w:rPr>
        <w:t>о</w:t>
      </w:r>
      <w:r w:rsidR="007E1591">
        <w:rPr>
          <w:iCs/>
        </w:rPr>
        <w:t>м нивоу у односу на план за 2021</w:t>
      </w:r>
      <w:r w:rsidRPr="00F85CB2">
        <w:rPr>
          <w:iCs/>
        </w:rPr>
        <w:t xml:space="preserve">. годину. У складу са утврђеном класификацијом, буџетска потрошња се посебно планира за текуће расходе и капиталне издатке, за сваког буџетског корисника, према овом Упутству. </w:t>
      </w:r>
    </w:p>
    <w:p w:rsidR="001160E2" w:rsidRDefault="001160E2" w:rsidP="00F85CB2">
      <w:pPr>
        <w:jc w:val="both"/>
        <w:rPr>
          <w:iCs/>
        </w:rPr>
      </w:pPr>
      <w:r w:rsidRPr="00F85CB2">
        <w:rPr>
          <w:iCs/>
        </w:rPr>
        <w:t xml:space="preserve">Буџетска потрошња у буџету </w:t>
      </w:r>
      <w:r w:rsidR="009807A6">
        <w:rPr>
          <w:iCs/>
        </w:rPr>
        <w:t>з</w:t>
      </w:r>
      <w:r w:rsidR="007E1591">
        <w:rPr>
          <w:iCs/>
        </w:rPr>
        <w:t>а 2022</w:t>
      </w:r>
      <w:r w:rsidR="003C76BA">
        <w:rPr>
          <w:iCs/>
          <w:lang w:val="en-US"/>
        </w:rPr>
        <w:t>.</w:t>
      </w:r>
      <w:r w:rsidRPr="00F85CB2">
        <w:rPr>
          <w:iCs/>
        </w:rPr>
        <w:t xml:space="preserve"> годину биће пројекција расхода/издатака у оквиру дозвољеног раста средстава.</w:t>
      </w:r>
    </w:p>
    <w:p w:rsidR="009807A6" w:rsidRPr="00F85CB2" w:rsidRDefault="009807A6" w:rsidP="00F85CB2">
      <w:pPr>
        <w:jc w:val="both"/>
        <w:rPr>
          <w:iCs/>
        </w:rPr>
      </w:pPr>
    </w:p>
    <w:p w:rsidR="001160E2" w:rsidRPr="009807A6" w:rsidRDefault="001160E2" w:rsidP="009807A6">
      <w:pPr>
        <w:pStyle w:val="ListParagraph"/>
        <w:numPr>
          <w:ilvl w:val="0"/>
          <w:numId w:val="15"/>
        </w:numPr>
        <w:jc w:val="both"/>
        <w:rPr>
          <w:b/>
          <w:iCs/>
        </w:rPr>
      </w:pPr>
      <w:r w:rsidRPr="009807A6">
        <w:rPr>
          <w:b/>
          <w:iCs/>
        </w:rPr>
        <w:t>Садржај Захтјева буџетског корисника</w:t>
      </w:r>
    </w:p>
    <w:p w:rsidR="009807A6" w:rsidRPr="009807A6" w:rsidRDefault="009807A6" w:rsidP="009807A6">
      <w:pPr>
        <w:pStyle w:val="ListParagraph"/>
        <w:ind w:left="1065"/>
        <w:jc w:val="both"/>
        <w:rPr>
          <w:b/>
          <w:iCs/>
        </w:rPr>
      </w:pPr>
    </w:p>
    <w:p w:rsidR="001160E2" w:rsidRPr="00F85CB2" w:rsidRDefault="001160E2" w:rsidP="00F85CB2">
      <w:pPr>
        <w:jc w:val="both"/>
        <w:rPr>
          <w:iCs/>
        </w:rPr>
      </w:pPr>
      <w:r w:rsidRPr="00F85CB2">
        <w:rPr>
          <w:iCs/>
        </w:rPr>
        <w:t>Форма и садржај буџетских захтјева треба да буду усклађени са чланом 25. Закона о буџетском систему РС и утврђеном методологијом планирања:</w:t>
      </w:r>
    </w:p>
    <w:p w:rsidR="001160E2" w:rsidRPr="00D25EFA" w:rsidRDefault="001160E2" w:rsidP="00F85CB2">
      <w:pPr>
        <w:jc w:val="both"/>
        <w:rPr>
          <w:b/>
          <w:iCs/>
        </w:rPr>
      </w:pPr>
      <w:r w:rsidRPr="00F85CB2">
        <w:rPr>
          <w:iCs/>
        </w:rPr>
        <w:t>(1)</w:t>
      </w:r>
      <w:r w:rsidRPr="00D25EFA">
        <w:rPr>
          <w:b/>
          <w:iCs/>
        </w:rPr>
        <w:t>Захтјев за текуће издатке потребно је да садржи: податке о постојећим и планираним активнос</w:t>
      </w:r>
      <w:r w:rsidR="00171579" w:rsidRPr="00D25EFA">
        <w:rPr>
          <w:b/>
          <w:iCs/>
        </w:rPr>
        <w:t>тима и услугама у буџетској 20</w:t>
      </w:r>
      <w:r w:rsidR="007E1591">
        <w:rPr>
          <w:b/>
          <w:iCs/>
        </w:rPr>
        <w:t>22</w:t>
      </w:r>
      <w:r w:rsidRPr="00D25EFA">
        <w:rPr>
          <w:b/>
          <w:iCs/>
        </w:rPr>
        <w:t>. години, као и податке о организационој, квалификационој структури, броју запослених и коефицијентима; основицу за обрачун личних примања; средства за материјалне трошкове; појединачне елементе и укупне износе потребне за реа</w:t>
      </w:r>
      <w:r w:rsidR="008B4AFA" w:rsidRPr="00D25EFA">
        <w:rPr>
          <w:b/>
          <w:iCs/>
        </w:rPr>
        <w:t>лизацију програмских активности.</w:t>
      </w:r>
    </w:p>
    <w:p w:rsidR="001160E2" w:rsidRPr="009807A6" w:rsidRDefault="001160E2" w:rsidP="009807A6">
      <w:pPr>
        <w:jc w:val="both"/>
        <w:rPr>
          <w:iCs/>
        </w:rPr>
      </w:pPr>
      <w:r w:rsidRPr="009807A6">
        <w:rPr>
          <w:iCs/>
        </w:rPr>
        <w:t>(2)Захтјев за додатна средства за текуће активности чије се финансирање не може ускладити са ограничењем садржаним по овом Упутству, детаљно треба образложити, са приједлогом приоритета, који ће се размотрити у поступку доношења буџета за наредну фискалну годину.</w:t>
      </w:r>
    </w:p>
    <w:p w:rsidR="001160E2" w:rsidRPr="009807A6" w:rsidRDefault="001160E2" w:rsidP="009807A6">
      <w:pPr>
        <w:jc w:val="both"/>
        <w:rPr>
          <w:iCs/>
        </w:rPr>
      </w:pPr>
      <w:r w:rsidRPr="009807A6">
        <w:rPr>
          <w:iCs/>
        </w:rPr>
        <w:t>(3)Захтјев за набавку основних средстава и опреме, додатним средствима за капиталне пројекте започете у претходним фискалним годинама као и за нове пројекте- приоритете које треба размотрити у поступку доношења буџета за наредну фискалну годину. Неопходно је навести планирану вриједност, образложење оправданости улагања, могућностима суфинансирања из других извора и захтијевани износ из буџета, као и досадашњи степен улагања за започете пројекте, те процјену трошкова у вези са одржавањем основних средстава.</w:t>
      </w:r>
    </w:p>
    <w:p w:rsidR="001160E2" w:rsidRPr="009807A6" w:rsidRDefault="001160E2" w:rsidP="009807A6">
      <w:pPr>
        <w:jc w:val="both"/>
        <w:rPr>
          <w:iCs/>
        </w:rPr>
      </w:pPr>
      <w:r w:rsidRPr="009807A6">
        <w:rPr>
          <w:iCs/>
        </w:rPr>
        <w:t>(4)Властити приходи, грантови, донације, примици од продаје имовине и остали јавни приходи који припадају буџетским корисницима морају се исказати у Захтјеву на приходовној страни. Коришћење тих прихода за одређене намјене утврдиће се Одлуком</w:t>
      </w:r>
      <w:r w:rsidR="007E1591">
        <w:rPr>
          <w:iCs/>
        </w:rPr>
        <w:t xml:space="preserve"> о извршењу буџета за 2022</w:t>
      </w:r>
      <w:r w:rsidRPr="009807A6">
        <w:rPr>
          <w:iCs/>
        </w:rPr>
        <w:t>. годину.</w:t>
      </w:r>
    </w:p>
    <w:p w:rsidR="001160E2" w:rsidRPr="009807A6" w:rsidRDefault="001160E2" w:rsidP="009807A6">
      <w:pPr>
        <w:jc w:val="both"/>
        <w:rPr>
          <w:iCs/>
        </w:rPr>
      </w:pPr>
      <w:r w:rsidRPr="009807A6">
        <w:rPr>
          <w:iCs/>
        </w:rPr>
        <w:t>(5)Ресорна Одјељења Општинске управе су дужна размотрити приједлог финансијског плана за ниже потрошачке јединице из своје надлежности и мишљење уз сагласност доставити у Одјељење за финансије.</w:t>
      </w:r>
    </w:p>
    <w:p w:rsidR="001160E2" w:rsidRPr="00D25EFA" w:rsidRDefault="001160E2" w:rsidP="009807A6">
      <w:pPr>
        <w:jc w:val="both"/>
        <w:rPr>
          <w:b/>
          <w:iCs/>
        </w:rPr>
      </w:pPr>
      <w:r w:rsidRPr="009807A6">
        <w:rPr>
          <w:iCs/>
        </w:rPr>
        <w:t>(6</w:t>
      </w:r>
      <w:r w:rsidRPr="00D25EFA">
        <w:rPr>
          <w:b/>
          <w:iCs/>
        </w:rPr>
        <w:t>)Буџетски захтјев треба да садржи финансијски израз предложеног плана и писмено образложење за сваку позицију.</w:t>
      </w:r>
    </w:p>
    <w:p w:rsidR="001160E2" w:rsidRPr="009807A6" w:rsidRDefault="001160E2" w:rsidP="009807A6">
      <w:pPr>
        <w:jc w:val="both"/>
        <w:rPr>
          <w:iCs/>
        </w:rPr>
      </w:pPr>
      <w:r w:rsidRPr="009807A6">
        <w:rPr>
          <w:iCs/>
        </w:rPr>
        <w:lastRenderedPageBreak/>
        <w:t>(7)Буџетски захтјев треба да садржи квартални финансијски план за буџетску потрошњу са описаним кварталним плановима потреба за средствима.</w:t>
      </w:r>
    </w:p>
    <w:p w:rsidR="001160E2" w:rsidRPr="009807A6" w:rsidRDefault="001160E2" w:rsidP="009807A6">
      <w:pPr>
        <w:jc w:val="both"/>
        <w:rPr>
          <w:iCs/>
        </w:rPr>
      </w:pPr>
    </w:p>
    <w:p w:rsidR="001160E2" w:rsidRPr="009807A6" w:rsidRDefault="001160E2" w:rsidP="009807A6">
      <w:pPr>
        <w:jc w:val="both"/>
        <w:rPr>
          <w:iCs/>
        </w:rPr>
      </w:pPr>
      <w:r w:rsidRPr="009807A6">
        <w:rPr>
          <w:iCs/>
        </w:rPr>
        <w:t xml:space="preserve">Финансијски дио Захтјева </w:t>
      </w:r>
      <w:r w:rsidRPr="00986310">
        <w:rPr>
          <w:b/>
          <w:iCs/>
        </w:rPr>
        <w:t>(Прилог 1)</w:t>
      </w:r>
      <w:r w:rsidRPr="009807A6">
        <w:rPr>
          <w:iCs/>
        </w:rPr>
        <w:t xml:space="preserve"> мора да буде презентован табеларно у Еxцел-у, са утврђеним заглављем,</w:t>
      </w:r>
      <w:r w:rsidR="00EE2824">
        <w:rPr>
          <w:iCs/>
        </w:rPr>
        <w:t>(</w:t>
      </w:r>
      <w:r w:rsidR="00EE2824" w:rsidRPr="00D25CEB">
        <w:rPr>
          <w:b/>
          <w:iCs/>
        </w:rPr>
        <w:t>по контном плану буџетских</w:t>
      </w:r>
      <w:r w:rsidR="00D25EFA">
        <w:rPr>
          <w:b/>
          <w:iCs/>
        </w:rPr>
        <w:t xml:space="preserve"> </w:t>
      </w:r>
      <w:r w:rsidR="00D25CEB" w:rsidRPr="00D25CEB">
        <w:rPr>
          <w:b/>
          <w:iCs/>
        </w:rPr>
        <w:t>корисника</w:t>
      </w:r>
      <w:r w:rsidR="00D25CEB">
        <w:rPr>
          <w:iCs/>
        </w:rPr>
        <w:t>)</w:t>
      </w:r>
      <w:r w:rsidRPr="009807A6">
        <w:rPr>
          <w:iCs/>
        </w:rPr>
        <w:t xml:space="preserve"> као:</w:t>
      </w:r>
    </w:p>
    <w:p w:rsidR="001160E2" w:rsidRPr="009807A6" w:rsidRDefault="001160E2" w:rsidP="009807A6">
      <w:pPr>
        <w:jc w:val="both"/>
        <w:rPr>
          <w:iCs/>
        </w:rPr>
      </w:pPr>
    </w:p>
    <w:p w:rsidR="008946BE" w:rsidRPr="00986310" w:rsidRDefault="00986310" w:rsidP="001160E2">
      <w:pPr>
        <w:rPr>
          <w:b/>
          <w:i/>
          <w:iCs/>
        </w:rPr>
      </w:pPr>
      <w:r w:rsidRPr="00986310">
        <w:rPr>
          <w:b/>
          <w:i/>
          <w:iCs/>
        </w:rPr>
        <w:t>Прилог 1</w:t>
      </w:r>
    </w:p>
    <w:p w:rsidR="00D25EFA" w:rsidRDefault="001160E2" w:rsidP="001160E2">
      <w:pPr>
        <w:rPr>
          <w:i/>
          <w:iCs/>
        </w:rPr>
      </w:pPr>
      <w:r w:rsidRPr="00C45A00">
        <w:rPr>
          <w:i/>
          <w:iCs/>
        </w:rPr>
        <w:t xml:space="preserve">НПЈ:_______ </w:t>
      </w:r>
    </w:p>
    <w:p w:rsidR="001C79AF" w:rsidRDefault="001160E2" w:rsidP="001160E2">
      <w:pPr>
        <w:rPr>
          <w:i/>
          <w:iCs/>
        </w:rPr>
      </w:pPr>
      <w:r w:rsidRPr="00C45A00">
        <w:rPr>
          <w:i/>
          <w:iCs/>
        </w:rPr>
        <w:t>„ План буџетске потрошње по</w:t>
      </w:r>
      <w:r w:rsidR="006F016E">
        <w:rPr>
          <w:i/>
          <w:iCs/>
        </w:rPr>
        <w:t xml:space="preserve"> </w:t>
      </w:r>
      <w:r w:rsidR="007E1591">
        <w:rPr>
          <w:i/>
          <w:iCs/>
        </w:rPr>
        <w:t>економској класификацији за 2022</w:t>
      </w:r>
      <w:r w:rsidRPr="00C45A00">
        <w:rPr>
          <w:i/>
          <w:iCs/>
        </w:rPr>
        <w:t>. годин</w:t>
      </w:r>
      <w:r w:rsidR="006F016E">
        <w:rPr>
          <w:i/>
          <w:iCs/>
        </w:rPr>
        <w:t>у</w:t>
      </w:r>
      <w:r w:rsidRPr="00C45A00">
        <w:rPr>
          <w:i/>
          <w:iCs/>
        </w:rPr>
        <w:t>“</w:t>
      </w:r>
    </w:p>
    <w:p w:rsidR="008946BE" w:rsidRDefault="008946BE" w:rsidP="001160E2">
      <w:pPr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"/>
        <w:gridCol w:w="1601"/>
        <w:gridCol w:w="1043"/>
        <w:gridCol w:w="1043"/>
        <w:gridCol w:w="1157"/>
        <w:gridCol w:w="1482"/>
        <w:gridCol w:w="1102"/>
        <w:gridCol w:w="1009"/>
        <w:gridCol w:w="1238"/>
      </w:tblGrid>
      <w:tr w:rsidR="006C514B" w:rsidRPr="001C79AF" w:rsidTr="006C514B">
        <w:tc>
          <w:tcPr>
            <w:tcW w:w="810" w:type="dxa"/>
          </w:tcPr>
          <w:p w:rsidR="006C514B" w:rsidRDefault="006C514B" w:rsidP="001160E2">
            <w:pPr>
              <w:rPr>
                <w:iCs/>
              </w:rPr>
            </w:pPr>
            <w:r>
              <w:rPr>
                <w:iCs/>
              </w:rPr>
              <w:t>Број</w:t>
            </w:r>
          </w:p>
          <w:p w:rsidR="006C514B" w:rsidRPr="001C79AF" w:rsidRDefault="006C514B" w:rsidP="001160E2">
            <w:pPr>
              <w:rPr>
                <w:iCs/>
              </w:rPr>
            </w:pPr>
            <w:r>
              <w:rPr>
                <w:iCs/>
              </w:rPr>
              <w:t>конта</w:t>
            </w:r>
          </w:p>
        </w:tc>
        <w:tc>
          <w:tcPr>
            <w:tcW w:w="1189" w:type="dxa"/>
          </w:tcPr>
          <w:p w:rsidR="006C514B" w:rsidRPr="001C79AF" w:rsidRDefault="006C514B" w:rsidP="001160E2">
            <w:pPr>
              <w:rPr>
                <w:iCs/>
              </w:rPr>
            </w:pPr>
            <w:r w:rsidRPr="001C79AF">
              <w:rPr>
                <w:iCs/>
              </w:rPr>
              <w:t>Опис/</w:t>
            </w:r>
          </w:p>
          <w:p w:rsidR="006C514B" w:rsidRDefault="00393874" w:rsidP="001160E2">
            <w:pPr>
              <w:rPr>
                <w:iCs/>
              </w:rPr>
            </w:pPr>
            <w:r w:rsidRPr="001C79AF">
              <w:rPr>
                <w:iCs/>
              </w:rPr>
              <w:t>С</w:t>
            </w:r>
            <w:r w:rsidR="006C514B" w:rsidRPr="001C79AF">
              <w:rPr>
                <w:iCs/>
              </w:rPr>
              <w:t>тавка</w:t>
            </w:r>
          </w:p>
          <w:p w:rsidR="00393874" w:rsidRDefault="00393874" w:rsidP="001160E2">
            <w:pPr>
              <w:rPr>
                <w:iCs/>
                <w:lang w:val="en-US"/>
              </w:rPr>
            </w:pPr>
            <w:r>
              <w:rPr>
                <w:iCs/>
              </w:rPr>
              <w:t>(</w:t>
            </w:r>
            <w:r w:rsidR="005617C7">
              <w:rPr>
                <w:iCs/>
              </w:rPr>
              <w:t>Активности)</w:t>
            </w:r>
          </w:p>
          <w:p w:rsidR="00DF6FDB" w:rsidRPr="00DF6FDB" w:rsidRDefault="00DF6FDB" w:rsidP="001160E2">
            <w:pPr>
              <w:rPr>
                <w:iCs/>
                <w:lang w:val="en-US"/>
              </w:rPr>
            </w:pPr>
          </w:p>
        </w:tc>
        <w:tc>
          <w:tcPr>
            <w:tcW w:w="1043" w:type="dxa"/>
          </w:tcPr>
          <w:p w:rsidR="006C514B" w:rsidRPr="001C79AF" w:rsidRDefault="006C514B" w:rsidP="001160E2">
            <w:pPr>
              <w:rPr>
                <w:iCs/>
              </w:rPr>
            </w:pPr>
            <w:r w:rsidRPr="001C79AF">
              <w:rPr>
                <w:iCs/>
              </w:rPr>
              <w:t>План</w:t>
            </w:r>
          </w:p>
          <w:p w:rsidR="006C514B" w:rsidRPr="001C79AF" w:rsidRDefault="007E1591" w:rsidP="001160E2">
            <w:pPr>
              <w:rPr>
                <w:b/>
                <w:iCs/>
              </w:rPr>
            </w:pPr>
            <w:r>
              <w:rPr>
                <w:iCs/>
              </w:rPr>
              <w:t>2021</w:t>
            </w:r>
            <w:r w:rsidR="006C514B" w:rsidRPr="001C79AF">
              <w:rPr>
                <w:iCs/>
              </w:rPr>
              <w:t>.г.</w:t>
            </w:r>
          </w:p>
        </w:tc>
        <w:tc>
          <w:tcPr>
            <w:tcW w:w="1043" w:type="dxa"/>
          </w:tcPr>
          <w:p w:rsidR="006C514B" w:rsidRPr="001C79AF" w:rsidRDefault="007E1591" w:rsidP="001160E2">
            <w:pPr>
              <w:rPr>
                <w:b/>
                <w:iCs/>
              </w:rPr>
            </w:pPr>
            <w:r>
              <w:rPr>
                <w:iCs/>
              </w:rPr>
              <w:t>План 2021</w:t>
            </w:r>
            <w:r w:rsidR="006C514B" w:rsidRPr="001C79AF">
              <w:rPr>
                <w:iCs/>
              </w:rPr>
              <w:t>.г. са реал</w:t>
            </w:r>
            <w:r w:rsidR="006C514B">
              <w:rPr>
                <w:b/>
                <w:iCs/>
              </w:rPr>
              <w:t>.</w:t>
            </w:r>
          </w:p>
        </w:tc>
        <w:tc>
          <w:tcPr>
            <w:tcW w:w="752" w:type="dxa"/>
          </w:tcPr>
          <w:p w:rsidR="006C514B" w:rsidRDefault="006C514B" w:rsidP="001160E2">
            <w:pPr>
              <w:rPr>
                <w:iCs/>
              </w:rPr>
            </w:pPr>
            <w:r>
              <w:rPr>
                <w:iCs/>
              </w:rPr>
              <w:t>Извр.</w:t>
            </w:r>
          </w:p>
          <w:p w:rsidR="006C514B" w:rsidRDefault="006C514B" w:rsidP="001160E2">
            <w:pPr>
              <w:rPr>
                <w:iCs/>
              </w:rPr>
            </w:pPr>
            <w:r>
              <w:rPr>
                <w:iCs/>
              </w:rPr>
              <w:t>30.06.</w:t>
            </w:r>
          </w:p>
          <w:p w:rsidR="006C514B" w:rsidRPr="001C79AF" w:rsidRDefault="007E1591" w:rsidP="001160E2">
            <w:pPr>
              <w:rPr>
                <w:iCs/>
              </w:rPr>
            </w:pPr>
            <w:r>
              <w:rPr>
                <w:iCs/>
              </w:rPr>
              <w:t>2021</w:t>
            </w:r>
            <w:r w:rsidR="006C514B">
              <w:rPr>
                <w:iCs/>
              </w:rPr>
              <w:t>.год.</w:t>
            </w:r>
          </w:p>
        </w:tc>
        <w:tc>
          <w:tcPr>
            <w:tcW w:w="1244" w:type="dxa"/>
          </w:tcPr>
          <w:p w:rsidR="006C514B" w:rsidRPr="001C79AF" w:rsidRDefault="006C514B" w:rsidP="001160E2">
            <w:pPr>
              <w:rPr>
                <w:iCs/>
              </w:rPr>
            </w:pPr>
            <w:r w:rsidRPr="001C79AF">
              <w:rPr>
                <w:iCs/>
              </w:rPr>
              <w:t xml:space="preserve">Процјена </w:t>
            </w:r>
          </w:p>
          <w:p w:rsidR="006C514B" w:rsidRPr="001C79AF" w:rsidRDefault="006C514B" w:rsidP="001160E2">
            <w:pPr>
              <w:rPr>
                <w:iCs/>
              </w:rPr>
            </w:pPr>
            <w:r w:rsidRPr="001C79AF">
              <w:rPr>
                <w:iCs/>
              </w:rPr>
              <w:t>извршења</w:t>
            </w:r>
          </w:p>
          <w:p w:rsidR="006C514B" w:rsidRPr="001C79AF" w:rsidRDefault="006C514B" w:rsidP="001160E2">
            <w:pPr>
              <w:rPr>
                <w:iCs/>
              </w:rPr>
            </w:pPr>
            <w:r>
              <w:rPr>
                <w:iCs/>
              </w:rPr>
              <w:t>у</w:t>
            </w:r>
            <w:r w:rsidR="007E1591">
              <w:rPr>
                <w:iCs/>
              </w:rPr>
              <w:t xml:space="preserve"> 2021</w:t>
            </w:r>
            <w:r w:rsidR="00171579">
              <w:rPr>
                <w:iCs/>
              </w:rPr>
              <w:t>.години</w:t>
            </w:r>
          </w:p>
        </w:tc>
        <w:tc>
          <w:tcPr>
            <w:tcW w:w="1102" w:type="dxa"/>
          </w:tcPr>
          <w:p w:rsidR="006C514B" w:rsidRPr="001C79AF" w:rsidRDefault="006C514B" w:rsidP="001160E2">
            <w:pPr>
              <w:rPr>
                <w:iCs/>
              </w:rPr>
            </w:pPr>
            <w:r w:rsidRPr="001C79AF">
              <w:rPr>
                <w:iCs/>
              </w:rPr>
              <w:t xml:space="preserve">Нацрт </w:t>
            </w:r>
          </w:p>
          <w:p w:rsidR="006C514B" w:rsidRPr="001C79AF" w:rsidRDefault="007E1591" w:rsidP="001160E2">
            <w:pPr>
              <w:rPr>
                <w:iCs/>
              </w:rPr>
            </w:pPr>
            <w:r>
              <w:rPr>
                <w:iCs/>
              </w:rPr>
              <w:t>Буџета за 2022</w:t>
            </w:r>
            <w:r w:rsidR="006C514B" w:rsidRPr="001C79AF">
              <w:rPr>
                <w:iCs/>
              </w:rPr>
              <w:t>.г.</w:t>
            </w:r>
          </w:p>
        </w:tc>
        <w:tc>
          <w:tcPr>
            <w:tcW w:w="1009" w:type="dxa"/>
          </w:tcPr>
          <w:p w:rsidR="006C514B" w:rsidRPr="001C79AF" w:rsidRDefault="006C514B" w:rsidP="001160E2">
            <w:pPr>
              <w:rPr>
                <w:iCs/>
              </w:rPr>
            </w:pPr>
            <w:r w:rsidRPr="001C79AF">
              <w:rPr>
                <w:iCs/>
              </w:rPr>
              <w:t>Индекс</w:t>
            </w:r>
          </w:p>
          <w:p w:rsidR="006C514B" w:rsidRPr="001C79AF" w:rsidRDefault="006C514B" w:rsidP="001C79AF">
            <w:pPr>
              <w:jc w:val="center"/>
              <w:rPr>
                <w:iCs/>
              </w:rPr>
            </w:pPr>
            <w:r w:rsidRPr="001C79AF">
              <w:rPr>
                <w:iCs/>
              </w:rPr>
              <w:t>6/4</w:t>
            </w:r>
          </w:p>
        </w:tc>
        <w:tc>
          <w:tcPr>
            <w:tcW w:w="1238" w:type="dxa"/>
          </w:tcPr>
          <w:p w:rsidR="006C514B" w:rsidRPr="001C79AF" w:rsidRDefault="006C514B" w:rsidP="001160E2">
            <w:pPr>
              <w:rPr>
                <w:iCs/>
              </w:rPr>
            </w:pPr>
            <w:r w:rsidRPr="001C79AF">
              <w:rPr>
                <w:iCs/>
              </w:rPr>
              <w:t>Напомена</w:t>
            </w:r>
          </w:p>
        </w:tc>
      </w:tr>
      <w:tr w:rsidR="006C514B" w:rsidRPr="001C79AF" w:rsidTr="006C514B">
        <w:tc>
          <w:tcPr>
            <w:tcW w:w="810" w:type="dxa"/>
          </w:tcPr>
          <w:p w:rsidR="006C514B" w:rsidRPr="001C79AF" w:rsidRDefault="006C514B" w:rsidP="001C79AF">
            <w:pPr>
              <w:jc w:val="center"/>
              <w:rPr>
                <w:iCs/>
              </w:rPr>
            </w:pPr>
            <w:r w:rsidRPr="001C79AF">
              <w:rPr>
                <w:iCs/>
              </w:rPr>
              <w:t>1</w:t>
            </w:r>
          </w:p>
        </w:tc>
        <w:tc>
          <w:tcPr>
            <w:tcW w:w="1189" w:type="dxa"/>
          </w:tcPr>
          <w:p w:rsidR="006C514B" w:rsidRPr="001C79AF" w:rsidRDefault="006C514B" w:rsidP="001C79AF">
            <w:pPr>
              <w:jc w:val="center"/>
              <w:rPr>
                <w:iCs/>
              </w:rPr>
            </w:pPr>
            <w:r w:rsidRPr="001C79AF">
              <w:rPr>
                <w:iCs/>
              </w:rPr>
              <w:t>2</w:t>
            </w:r>
          </w:p>
        </w:tc>
        <w:tc>
          <w:tcPr>
            <w:tcW w:w="1043" w:type="dxa"/>
          </w:tcPr>
          <w:p w:rsidR="006C514B" w:rsidRPr="001C79AF" w:rsidRDefault="006C514B" w:rsidP="001C79AF">
            <w:pPr>
              <w:jc w:val="center"/>
              <w:rPr>
                <w:iCs/>
              </w:rPr>
            </w:pPr>
            <w:r w:rsidRPr="001C79AF">
              <w:rPr>
                <w:iCs/>
              </w:rPr>
              <w:t>3</w:t>
            </w:r>
          </w:p>
        </w:tc>
        <w:tc>
          <w:tcPr>
            <w:tcW w:w="1043" w:type="dxa"/>
          </w:tcPr>
          <w:p w:rsidR="006C514B" w:rsidRPr="001C79AF" w:rsidRDefault="006C514B" w:rsidP="001C79AF">
            <w:pPr>
              <w:jc w:val="center"/>
              <w:rPr>
                <w:iCs/>
              </w:rPr>
            </w:pPr>
            <w:r w:rsidRPr="001C79AF">
              <w:rPr>
                <w:iCs/>
              </w:rPr>
              <w:t>4</w:t>
            </w:r>
          </w:p>
        </w:tc>
        <w:tc>
          <w:tcPr>
            <w:tcW w:w="752" w:type="dxa"/>
          </w:tcPr>
          <w:p w:rsidR="006C514B" w:rsidRPr="001C79AF" w:rsidRDefault="006C514B" w:rsidP="001C79AF">
            <w:pPr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1244" w:type="dxa"/>
          </w:tcPr>
          <w:p w:rsidR="006C514B" w:rsidRPr="001C79AF" w:rsidRDefault="006C514B" w:rsidP="006C514B">
            <w:pPr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02" w:type="dxa"/>
          </w:tcPr>
          <w:p w:rsidR="006C514B" w:rsidRPr="001C79AF" w:rsidRDefault="006C514B" w:rsidP="001C79AF">
            <w:pPr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1009" w:type="dxa"/>
          </w:tcPr>
          <w:p w:rsidR="006C514B" w:rsidRPr="001C79AF" w:rsidRDefault="006C514B" w:rsidP="006C514B">
            <w:pPr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1238" w:type="dxa"/>
          </w:tcPr>
          <w:p w:rsidR="006C514B" w:rsidRPr="001C79AF" w:rsidRDefault="006C514B" w:rsidP="001C79AF">
            <w:pPr>
              <w:jc w:val="center"/>
              <w:rPr>
                <w:iCs/>
              </w:rPr>
            </w:pPr>
            <w:r>
              <w:rPr>
                <w:iCs/>
              </w:rPr>
              <w:t>9</w:t>
            </w:r>
          </w:p>
        </w:tc>
      </w:tr>
      <w:tr w:rsidR="008946BE" w:rsidRPr="001C79AF" w:rsidTr="006C514B">
        <w:tc>
          <w:tcPr>
            <w:tcW w:w="810" w:type="dxa"/>
          </w:tcPr>
          <w:p w:rsidR="008946BE" w:rsidRPr="001C79AF" w:rsidRDefault="008946BE" w:rsidP="001C79AF">
            <w:pPr>
              <w:jc w:val="center"/>
              <w:rPr>
                <w:iCs/>
              </w:rPr>
            </w:pPr>
          </w:p>
        </w:tc>
        <w:tc>
          <w:tcPr>
            <w:tcW w:w="1189" w:type="dxa"/>
          </w:tcPr>
          <w:p w:rsidR="008946BE" w:rsidRPr="001C79AF" w:rsidRDefault="008946BE" w:rsidP="001C79AF">
            <w:pPr>
              <w:jc w:val="center"/>
              <w:rPr>
                <w:iCs/>
              </w:rPr>
            </w:pPr>
          </w:p>
        </w:tc>
        <w:tc>
          <w:tcPr>
            <w:tcW w:w="1043" w:type="dxa"/>
          </w:tcPr>
          <w:p w:rsidR="008946BE" w:rsidRPr="001C79AF" w:rsidRDefault="008946BE" w:rsidP="001C79AF">
            <w:pPr>
              <w:jc w:val="center"/>
              <w:rPr>
                <w:iCs/>
              </w:rPr>
            </w:pPr>
          </w:p>
        </w:tc>
        <w:tc>
          <w:tcPr>
            <w:tcW w:w="1043" w:type="dxa"/>
          </w:tcPr>
          <w:p w:rsidR="008946BE" w:rsidRPr="001C79AF" w:rsidRDefault="008946BE" w:rsidP="001C79AF">
            <w:pPr>
              <w:jc w:val="center"/>
              <w:rPr>
                <w:iCs/>
              </w:rPr>
            </w:pPr>
          </w:p>
        </w:tc>
        <w:tc>
          <w:tcPr>
            <w:tcW w:w="752" w:type="dxa"/>
          </w:tcPr>
          <w:p w:rsidR="008946BE" w:rsidRDefault="008946BE" w:rsidP="001C79AF">
            <w:pPr>
              <w:jc w:val="center"/>
              <w:rPr>
                <w:iCs/>
              </w:rPr>
            </w:pPr>
          </w:p>
        </w:tc>
        <w:tc>
          <w:tcPr>
            <w:tcW w:w="1244" w:type="dxa"/>
          </w:tcPr>
          <w:p w:rsidR="008946BE" w:rsidRDefault="008946BE" w:rsidP="006C514B">
            <w:pPr>
              <w:jc w:val="center"/>
              <w:rPr>
                <w:iCs/>
              </w:rPr>
            </w:pPr>
          </w:p>
        </w:tc>
        <w:tc>
          <w:tcPr>
            <w:tcW w:w="1102" w:type="dxa"/>
          </w:tcPr>
          <w:p w:rsidR="008946BE" w:rsidRDefault="008946BE" w:rsidP="001C79AF">
            <w:pPr>
              <w:jc w:val="center"/>
              <w:rPr>
                <w:iCs/>
              </w:rPr>
            </w:pPr>
          </w:p>
        </w:tc>
        <w:tc>
          <w:tcPr>
            <w:tcW w:w="1009" w:type="dxa"/>
          </w:tcPr>
          <w:p w:rsidR="008946BE" w:rsidRDefault="008946BE" w:rsidP="006C514B">
            <w:pPr>
              <w:jc w:val="center"/>
              <w:rPr>
                <w:iCs/>
              </w:rPr>
            </w:pPr>
          </w:p>
        </w:tc>
        <w:tc>
          <w:tcPr>
            <w:tcW w:w="1238" w:type="dxa"/>
          </w:tcPr>
          <w:p w:rsidR="008946BE" w:rsidRDefault="008946BE" w:rsidP="001C79AF">
            <w:pPr>
              <w:jc w:val="center"/>
              <w:rPr>
                <w:iCs/>
              </w:rPr>
            </w:pPr>
          </w:p>
        </w:tc>
      </w:tr>
      <w:tr w:rsidR="008946BE" w:rsidRPr="001C79AF" w:rsidTr="006C514B">
        <w:tc>
          <w:tcPr>
            <w:tcW w:w="810" w:type="dxa"/>
          </w:tcPr>
          <w:p w:rsidR="008946BE" w:rsidRPr="001C79AF" w:rsidRDefault="008946BE" w:rsidP="001C79AF">
            <w:pPr>
              <w:jc w:val="center"/>
              <w:rPr>
                <w:iCs/>
              </w:rPr>
            </w:pPr>
          </w:p>
        </w:tc>
        <w:tc>
          <w:tcPr>
            <w:tcW w:w="1189" w:type="dxa"/>
          </w:tcPr>
          <w:p w:rsidR="008946BE" w:rsidRPr="001C79AF" w:rsidRDefault="008946BE" w:rsidP="001C79AF">
            <w:pPr>
              <w:jc w:val="center"/>
              <w:rPr>
                <w:iCs/>
              </w:rPr>
            </w:pPr>
          </w:p>
        </w:tc>
        <w:tc>
          <w:tcPr>
            <w:tcW w:w="1043" w:type="dxa"/>
          </w:tcPr>
          <w:p w:rsidR="008946BE" w:rsidRPr="001C79AF" w:rsidRDefault="008946BE" w:rsidP="001C79AF">
            <w:pPr>
              <w:jc w:val="center"/>
              <w:rPr>
                <w:iCs/>
              </w:rPr>
            </w:pPr>
          </w:p>
        </w:tc>
        <w:tc>
          <w:tcPr>
            <w:tcW w:w="1043" w:type="dxa"/>
          </w:tcPr>
          <w:p w:rsidR="008946BE" w:rsidRPr="001C79AF" w:rsidRDefault="008946BE" w:rsidP="001C79AF">
            <w:pPr>
              <w:jc w:val="center"/>
              <w:rPr>
                <w:iCs/>
              </w:rPr>
            </w:pPr>
          </w:p>
        </w:tc>
        <w:tc>
          <w:tcPr>
            <w:tcW w:w="752" w:type="dxa"/>
          </w:tcPr>
          <w:p w:rsidR="008946BE" w:rsidRDefault="008946BE" w:rsidP="001C79AF">
            <w:pPr>
              <w:jc w:val="center"/>
              <w:rPr>
                <w:iCs/>
              </w:rPr>
            </w:pPr>
          </w:p>
        </w:tc>
        <w:tc>
          <w:tcPr>
            <w:tcW w:w="1244" w:type="dxa"/>
          </w:tcPr>
          <w:p w:rsidR="008946BE" w:rsidRDefault="008946BE" w:rsidP="006C514B">
            <w:pPr>
              <w:jc w:val="center"/>
              <w:rPr>
                <w:iCs/>
              </w:rPr>
            </w:pPr>
          </w:p>
        </w:tc>
        <w:tc>
          <w:tcPr>
            <w:tcW w:w="1102" w:type="dxa"/>
          </w:tcPr>
          <w:p w:rsidR="008946BE" w:rsidRDefault="008946BE" w:rsidP="001C79AF">
            <w:pPr>
              <w:jc w:val="center"/>
              <w:rPr>
                <w:iCs/>
              </w:rPr>
            </w:pPr>
          </w:p>
        </w:tc>
        <w:tc>
          <w:tcPr>
            <w:tcW w:w="1009" w:type="dxa"/>
          </w:tcPr>
          <w:p w:rsidR="008946BE" w:rsidRDefault="008946BE" w:rsidP="006C514B">
            <w:pPr>
              <w:jc w:val="center"/>
              <w:rPr>
                <w:iCs/>
              </w:rPr>
            </w:pPr>
          </w:p>
        </w:tc>
        <w:tc>
          <w:tcPr>
            <w:tcW w:w="1238" w:type="dxa"/>
          </w:tcPr>
          <w:p w:rsidR="008946BE" w:rsidRDefault="008946BE" w:rsidP="001C79AF">
            <w:pPr>
              <w:jc w:val="center"/>
              <w:rPr>
                <w:iCs/>
              </w:rPr>
            </w:pPr>
          </w:p>
        </w:tc>
      </w:tr>
      <w:tr w:rsidR="008946BE" w:rsidRPr="001C79AF" w:rsidTr="006C514B">
        <w:tc>
          <w:tcPr>
            <w:tcW w:w="810" w:type="dxa"/>
          </w:tcPr>
          <w:p w:rsidR="008946BE" w:rsidRPr="001C79AF" w:rsidRDefault="008946BE" w:rsidP="001C79AF">
            <w:pPr>
              <w:jc w:val="center"/>
              <w:rPr>
                <w:iCs/>
              </w:rPr>
            </w:pPr>
          </w:p>
        </w:tc>
        <w:tc>
          <w:tcPr>
            <w:tcW w:w="1189" w:type="dxa"/>
          </w:tcPr>
          <w:p w:rsidR="008946BE" w:rsidRPr="001C79AF" w:rsidRDefault="008946BE" w:rsidP="001C79AF">
            <w:pPr>
              <w:jc w:val="center"/>
              <w:rPr>
                <w:iCs/>
              </w:rPr>
            </w:pPr>
          </w:p>
        </w:tc>
        <w:tc>
          <w:tcPr>
            <w:tcW w:w="1043" w:type="dxa"/>
          </w:tcPr>
          <w:p w:rsidR="008946BE" w:rsidRPr="001C79AF" w:rsidRDefault="008946BE" w:rsidP="001C79AF">
            <w:pPr>
              <w:jc w:val="center"/>
              <w:rPr>
                <w:iCs/>
              </w:rPr>
            </w:pPr>
          </w:p>
        </w:tc>
        <w:tc>
          <w:tcPr>
            <w:tcW w:w="1043" w:type="dxa"/>
          </w:tcPr>
          <w:p w:rsidR="008946BE" w:rsidRPr="001C79AF" w:rsidRDefault="008946BE" w:rsidP="001C79AF">
            <w:pPr>
              <w:jc w:val="center"/>
              <w:rPr>
                <w:iCs/>
              </w:rPr>
            </w:pPr>
          </w:p>
        </w:tc>
        <w:tc>
          <w:tcPr>
            <w:tcW w:w="752" w:type="dxa"/>
          </w:tcPr>
          <w:p w:rsidR="008946BE" w:rsidRDefault="008946BE" w:rsidP="001C79AF">
            <w:pPr>
              <w:jc w:val="center"/>
              <w:rPr>
                <w:iCs/>
              </w:rPr>
            </w:pPr>
          </w:p>
        </w:tc>
        <w:tc>
          <w:tcPr>
            <w:tcW w:w="1244" w:type="dxa"/>
          </w:tcPr>
          <w:p w:rsidR="008946BE" w:rsidRDefault="008946BE" w:rsidP="006C514B">
            <w:pPr>
              <w:jc w:val="center"/>
              <w:rPr>
                <w:iCs/>
              </w:rPr>
            </w:pPr>
          </w:p>
        </w:tc>
        <w:tc>
          <w:tcPr>
            <w:tcW w:w="1102" w:type="dxa"/>
          </w:tcPr>
          <w:p w:rsidR="008946BE" w:rsidRDefault="008946BE" w:rsidP="001C79AF">
            <w:pPr>
              <w:jc w:val="center"/>
              <w:rPr>
                <w:iCs/>
              </w:rPr>
            </w:pPr>
          </w:p>
        </w:tc>
        <w:tc>
          <w:tcPr>
            <w:tcW w:w="1009" w:type="dxa"/>
          </w:tcPr>
          <w:p w:rsidR="008946BE" w:rsidRDefault="008946BE" w:rsidP="006C514B">
            <w:pPr>
              <w:jc w:val="center"/>
              <w:rPr>
                <w:iCs/>
              </w:rPr>
            </w:pPr>
          </w:p>
        </w:tc>
        <w:tc>
          <w:tcPr>
            <w:tcW w:w="1238" w:type="dxa"/>
          </w:tcPr>
          <w:p w:rsidR="008946BE" w:rsidRDefault="008946BE" w:rsidP="001C79AF">
            <w:pPr>
              <w:jc w:val="center"/>
              <w:rPr>
                <w:iCs/>
              </w:rPr>
            </w:pPr>
          </w:p>
        </w:tc>
      </w:tr>
      <w:tr w:rsidR="008946BE" w:rsidRPr="001C79AF" w:rsidTr="006C514B">
        <w:tc>
          <w:tcPr>
            <w:tcW w:w="810" w:type="dxa"/>
          </w:tcPr>
          <w:p w:rsidR="008946BE" w:rsidRPr="001C79AF" w:rsidRDefault="008946BE" w:rsidP="001C79AF">
            <w:pPr>
              <w:jc w:val="center"/>
              <w:rPr>
                <w:iCs/>
              </w:rPr>
            </w:pPr>
          </w:p>
        </w:tc>
        <w:tc>
          <w:tcPr>
            <w:tcW w:w="1189" w:type="dxa"/>
          </w:tcPr>
          <w:p w:rsidR="008946BE" w:rsidRPr="001C79AF" w:rsidRDefault="008946BE" w:rsidP="001C79AF">
            <w:pPr>
              <w:jc w:val="center"/>
              <w:rPr>
                <w:iCs/>
              </w:rPr>
            </w:pPr>
          </w:p>
        </w:tc>
        <w:tc>
          <w:tcPr>
            <w:tcW w:w="1043" w:type="dxa"/>
          </w:tcPr>
          <w:p w:rsidR="008946BE" w:rsidRPr="001C79AF" w:rsidRDefault="008946BE" w:rsidP="001C79AF">
            <w:pPr>
              <w:jc w:val="center"/>
              <w:rPr>
                <w:iCs/>
              </w:rPr>
            </w:pPr>
          </w:p>
        </w:tc>
        <w:tc>
          <w:tcPr>
            <w:tcW w:w="1043" w:type="dxa"/>
          </w:tcPr>
          <w:p w:rsidR="008946BE" w:rsidRPr="001C79AF" w:rsidRDefault="008946BE" w:rsidP="001C79AF">
            <w:pPr>
              <w:jc w:val="center"/>
              <w:rPr>
                <w:iCs/>
              </w:rPr>
            </w:pPr>
          </w:p>
        </w:tc>
        <w:tc>
          <w:tcPr>
            <w:tcW w:w="752" w:type="dxa"/>
          </w:tcPr>
          <w:p w:rsidR="008946BE" w:rsidRDefault="008946BE" w:rsidP="001C79AF">
            <w:pPr>
              <w:jc w:val="center"/>
              <w:rPr>
                <w:iCs/>
              </w:rPr>
            </w:pPr>
          </w:p>
        </w:tc>
        <w:tc>
          <w:tcPr>
            <w:tcW w:w="1244" w:type="dxa"/>
          </w:tcPr>
          <w:p w:rsidR="008946BE" w:rsidRDefault="008946BE" w:rsidP="006C514B">
            <w:pPr>
              <w:jc w:val="center"/>
              <w:rPr>
                <w:iCs/>
              </w:rPr>
            </w:pPr>
          </w:p>
        </w:tc>
        <w:tc>
          <w:tcPr>
            <w:tcW w:w="1102" w:type="dxa"/>
          </w:tcPr>
          <w:p w:rsidR="008946BE" w:rsidRDefault="008946BE" w:rsidP="001C79AF">
            <w:pPr>
              <w:jc w:val="center"/>
              <w:rPr>
                <w:iCs/>
              </w:rPr>
            </w:pPr>
          </w:p>
        </w:tc>
        <w:tc>
          <w:tcPr>
            <w:tcW w:w="1009" w:type="dxa"/>
          </w:tcPr>
          <w:p w:rsidR="008946BE" w:rsidRDefault="008946BE" w:rsidP="006C514B">
            <w:pPr>
              <w:jc w:val="center"/>
              <w:rPr>
                <w:iCs/>
              </w:rPr>
            </w:pPr>
          </w:p>
        </w:tc>
        <w:tc>
          <w:tcPr>
            <w:tcW w:w="1238" w:type="dxa"/>
          </w:tcPr>
          <w:p w:rsidR="008946BE" w:rsidRDefault="008946BE" w:rsidP="001C79AF">
            <w:pPr>
              <w:jc w:val="center"/>
              <w:rPr>
                <w:iCs/>
              </w:rPr>
            </w:pPr>
          </w:p>
        </w:tc>
      </w:tr>
    </w:tbl>
    <w:p w:rsidR="001C79AF" w:rsidRDefault="001C79AF" w:rsidP="001160E2">
      <w:pPr>
        <w:rPr>
          <w:i/>
          <w:iCs/>
        </w:rPr>
      </w:pPr>
    </w:p>
    <w:p w:rsidR="001160E2" w:rsidRPr="002F302A" w:rsidRDefault="001160E2" w:rsidP="001160E2">
      <w:pPr>
        <w:rPr>
          <w:iCs/>
        </w:rPr>
      </w:pPr>
      <w:r w:rsidRPr="002F302A">
        <w:rPr>
          <w:iCs/>
        </w:rPr>
        <w:t>Напомене:</w:t>
      </w:r>
    </w:p>
    <w:p w:rsidR="001160E2" w:rsidRPr="00986310" w:rsidRDefault="002F302A" w:rsidP="001160E2">
      <w:pPr>
        <w:rPr>
          <w:iCs/>
          <w:color w:val="000000" w:themeColor="text1"/>
        </w:rPr>
      </w:pPr>
      <w:r>
        <w:rPr>
          <w:iCs/>
        </w:rPr>
        <w:t>-</w:t>
      </w:r>
      <w:r w:rsidR="006F016E">
        <w:rPr>
          <w:iCs/>
        </w:rPr>
        <w:t xml:space="preserve">у колони 3: План </w:t>
      </w:r>
      <w:r w:rsidR="007E1591">
        <w:rPr>
          <w:iCs/>
        </w:rPr>
        <w:t>буџета за 2021</w:t>
      </w:r>
      <w:r w:rsidR="001160E2" w:rsidRPr="002F302A">
        <w:rPr>
          <w:iCs/>
        </w:rPr>
        <w:t xml:space="preserve">. годину - преузимају се подаци који су објављени у “Службеном </w:t>
      </w:r>
      <w:r>
        <w:rPr>
          <w:iCs/>
        </w:rPr>
        <w:t>гласнику</w:t>
      </w:r>
      <w:r w:rsidR="001160E2" w:rsidRPr="002F302A">
        <w:rPr>
          <w:iCs/>
        </w:rPr>
        <w:t xml:space="preserve"> општине </w:t>
      </w:r>
      <w:r>
        <w:rPr>
          <w:iCs/>
        </w:rPr>
        <w:t>Невесиње</w:t>
      </w:r>
      <w:r w:rsidR="006F016E">
        <w:rPr>
          <w:iCs/>
        </w:rPr>
        <w:t>“</w:t>
      </w:r>
      <w:r w:rsidR="001160E2" w:rsidRPr="002F302A">
        <w:rPr>
          <w:iCs/>
        </w:rPr>
        <w:t xml:space="preserve"> </w:t>
      </w:r>
      <w:r w:rsidR="001160E2" w:rsidRPr="00986310">
        <w:rPr>
          <w:iCs/>
          <w:color w:val="000000" w:themeColor="text1"/>
        </w:rPr>
        <w:t>,</w:t>
      </w:r>
    </w:p>
    <w:p w:rsidR="001160E2" w:rsidRDefault="001160E2" w:rsidP="001160E2">
      <w:pPr>
        <w:rPr>
          <w:iCs/>
        </w:rPr>
      </w:pPr>
      <w:r w:rsidRPr="002F302A">
        <w:rPr>
          <w:iCs/>
        </w:rPr>
        <w:t>-у колони 4: одобреном буџету, по свим позицијам</w:t>
      </w:r>
      <w:r w:rsidR="007E1591">
        <w:rPr>
          <w:iCs/>
        </w:rPr>
        <w:t>а, придружити реалокације у 2021</w:t>
      </w:r>
      <w:r w:rsidRPr="002F302A">
        <w:rPr>
          <w:iCs/>
        </w:rPr>
        <w:t>. години,</w:t>
      </w:r>
    </w:p>
    <w:p w:rsidR="006C514B" w:rsidRPr="002F302A" w:rsidRDefault="006C514B" w:rsidP="001160E2">
      <w:pPr>
        <w:rPr>
          <w:iCs/>
        </w:rPr>
      </w:pPr>
      <w:r>
        <w:rPr>
          <w:iCs/>
        </w:rPr>
        <w:t>-у колони 5: приказат</w:t>
      </w:r>
      <w:r w:rsidR="00A44F05">
        <w:rPr>
          <w:iCs/>
        </w:rPr>
        <w:t>и</w:t>
      </w:r>
      <w:r w:rsidR="007E1591">
        <w:rPr>
          <w:iCs/>
        </w:rPr>
        <w:t xml:space="preserve"> извршење за 6 мјесеци 2021</w:t>
      </w:r>
      <w:r>
        <w:rPr>
          <w:iCs/>
        </w:rPr>
        <w:t>.год.</w:t>
      </w:r>
    </w:p>
    <w:p w:rsidR="001160E2" w:rsidRPr="002F302A" w:rsidRDefault="001160E2" w:rsidP="001160E2">
      <w:pPr>
        <w:rPr>
          <w:iCs/>
        </w:rPr>
      </w:pPr>
      <w:r w:rsidRPr="002F302A">
        <w:rPr>
          <w:iCs/>
        </w:rPr>
        <w:t xml:space="preserve">-у колони </w:t>
      </w:r>
      <w:r w:rsidR="006C514B">
        <w:rPr>
          <w:iCs/>
        </w:rPr>
        <w:t>6</w:t>
      </w:r>
      <w:r w:rsidR="006F016E">
        <w:rPr>
          <w:iCs/>
        </w:rPr>
        <w:t>:</w:t>
      </w:r>
      <w:r w:rsidR="007E1591">
        <w:rPr>
          <w:iCs/>
        </w:rPr>
        <w:t xml:space="preserve"> процјена извршења до краја 2021</w:t>
      </w:r>
      <w:r w:rsidRPr="002F302A">
        <w:rPr>
          <w:iCs/>
        </w:rPr>
        <w:t>. г</w:t>
      </w:r>
      <w:r w:rsidR="006F016E">
        <w:rPr>
          <w:iCs/>
        </w:rPr>
        <w:t>одине</w:t>
      </w:r>
      <w:r w:rsidRPr="002F302A">
        <w:rPr>
          <w:iCs/>
        </w:rPr>
        <w:t xml:space="preserve"> на бази извршења у првих 6 мјесеци,</w:t>
      </w:r>
    </w:p>
    <w:p w:rsidR="001160E2" w:rsidRPr="002F302A" w:rsidRDefault="001160E2" w:rsidP="001160E2">
      <w:pPr>
        <w:rPr>
          <w:iCs/>
        </w:rPr>
      </w:pPr>
      <w:r w:rsidRPr="002F302A">
        <w:rPr>
          <w:iCs/>
        </w:rPr>
        <w:t xml:space="preserve">-у колону </w:t>
      </w:r>
      <w:r w:rsidR="006C514B">
        <w:rPr>
          <w:iCs/>
        </w:rPr>
        <w:t>7</w:t>
      </w:r>
      <w:r w:rsidRPr="002F302A">
        <w:rPr>
          <w:iCs/>
        </w:rPr>
        <w:t xml:space="preserve">: приједлог финансијског плана буџетског </w:t>
      </w:r>
      <w:r w:rsidR="00A44F05">
        <w:rPr>
          <w:iCs/>
        </w:rPr>
        <w:t>к</w:t>
      </w:r>
      <w:r w:rsidR="00531CF7">
        <w:rPr>
          <w:iCs/>
        </w:rPr>
        <w:t>орисника за Нацрт буџета за 2022</w:t>
      </w:r>
      <w:r w:rsidRPr="002F302A">
        <w:rPr>
          <w:iCs/>
        </w:rPr>
        <w:t>. годину,</w:t>
      </w:r>
    </w:p>
    <w:p w:rsidR="001160E2" w:rsidRDefault="006C514B" w:rsidP="001160E2">
      <w:pPr>
        <w:rPr>
          <w:iCs/>
        </w:rPr>
      </w:pPr>
      <w:r>
        <w:rPr>
          <w:iCs/>
        </w:rPr>
        <w:t>-у колону 8</w:t>
      </w:r>
      <w:r w:rsidR="001160E2" w:rsidRPr="002F302A">
        <w:rPr>
          <w:iCs/>
        </w:rPr>
        <w:t xml:space="preserve"> унијети индекс планиране потр</w:t>
      </w:r>
      <w:r w:rsidR="006F016E">
        <w:rPr>
          <w:iCs/>
        </w:rPr>
        <w:t>ошње у односу на потрошњу у 202</w:t>
      </w:r>
      <w:r w:rsidR="00531CF7">
        <w:rPr>
          <w:iCs/>
        </w:rPr>
        <w:t>1</w:t>
      </w:r>
      <w:r w:rsidR="001160E2" w:rsidRPr="002F302A">
        <w:rPr>
          <w:iCs/>
        </w:rPr>
        <w:t>. г</w:t>
      </w:r>
      <w:r w:rsidR="00C3211B">
        <w:rPr>
          <w:iCs/>
        </w:rPr>
        <w:t>одине</w:t>
      </w:r>
      <w:r w:rsidR="001160E2" w:rsidRPr="002F302A">
        <w:rPr>
          <w:iCs/>
        </w:rPr>
        <w:t>.</w:t>
      </w:r>
    </w:p>
    <w:p w:rsidR="002F302A" w:rsidRPr="002F302A" w:rsidRDefault="002F302A" w:rsidP="001160E2">
      <w:pPr>
        <w:rPr>
          <w:iCs/>
        </w:rPr>
      </w:pPr>
    </w:p>
    <w:p w:rsidR="001160E2" w:rsidRPr="0001601D" w:rsidRDefault="001160E2" w:rsidP="002F302A">
      <w:pPr>
        <w:pStyle w:val="ListParagraph"/>
        <w:numPr>
          <w:ilvl w:val="0"/>
          <w:numId w:val="15"/>
        </w:numPr>
        <w:rPr>
          <w:b/>
          <w:iCs/>
          <w:color w:val="000000" w:themeColor="text1"/>
        </w:rPr>
      </w:pPr>
      <w:r w:rsidRPr="0001601D">
        <w:rPr>
          <w:b/>
          <w:iCs/>
          <w:color w:val="000000" w:themeColor="text1"/>
        </w:rPr>
        <w:t xml:space="preserve">Поступак и динамика припреме буџета општине </w:t>
      </w:r>
      <w:r w:rsidR="006C514B" w:rsidRPr="0001601D">
        <w:rPr>
          <w:b/>
          <w:iCs/>
          <w:color w:val="000000" w:themeColor="text1"/>
          <w:lang w:val="sr-Cyrl-BA"/>
        </w:rPr>
        <w:t>Невесиње</w:t>
      </w:r>
    </w:p>
    <w:p w:rsidR="002F302A" w:rsidRPr="0001601D" w:rsidRDefault="002F302A" w:rsidP="002F302A">
      <w:pPr>
        <w:pStyle w:val="ListParagraph"/>
        <w:ind w:left="1065"/>
        <w:rPr>
          <w:b/>
          <w:iCs/>
          <w:color w:val="000000" w:themeColor="text1"/>
        </w:rPr>
      </w:pPr>
    </w:p>
    <w:p w:rsidR="001160E2" w:rsidRPr="002F302A" w:rsidRDefault="001160E2" w:rsidP="002F302A">
      <w:pPr>
        <w:jc w:val="both"/>
        <w:rPr>
          <w:iCs/>
        </w:rPr>
      </w:pPr>
      <w:r w:rsidRPr="002F302A">
        <w:rPr>
          <w:iCs/>
        </w:rPr>
        <w:t>Припрема и доношење буџета општине прописано је чланом 28. Закона о буџетском систему Републике Српске, као буџетски календар са сљедећим крајњим роковима:</w:t>
      </w:r>
    </w:p>
    <w:p w:rsidR="001160E2" w:rsidRPr="002F302A" w:rsidRDefault="00055662" w:rsidP="002F302A">
      <w:pPr>
        <w:jc w:val="both"/>
        <w:rPr>
          <w:iCs/>
        </w:rPr>
      </w:pPr>
      <w:r>
        <w:rPr>
          <w:iCs/>
        </w:rPr>
        <w:t>-до 20.07.20</w:t>
      </w:r>
      <w:r w:rsidR="00531CF7">
        <w:rPr>
          <w:iCs/>
          <w:lang w:val="en-US"/>
        </w:rPr>
        <w:t>2</w:t>
      </w:r>
      <w:r w:rsidR="00531CF7">
        <w:rPr>
          <w:iCs/>
        </w:rPr>
        <w:t>1</w:t>
      </w:r>
      <w:r w:rsidR="001160E2" w:rsidRPr="002F302A">
        <w:rPr>
          <w:iCs/>
        </w:rPr>
        <w:t>. године Одјељење за финансије доставља буџетским корисницима Упутство за припрему буџета општине;</w:t>
      </w:r>
    </w:p>
    <w:p w:rsidR="001160E2" w:rsidRPr="002F302A" w:rsidRDefault="00055662" w:rsidP="002F302A">
      <w:pPr>
        <w:jc w:val="both"/>
        <w:rPr>
          <w:iCs/>
        </w:rPr>
      </w:pPr>
      <w:r>
        <w:rPr>
          <w:iCs/>
        </w:rPr>
        <w:t>-до 15.09.20</w:t>
      </w:r>
      <w:r>
        <w:rPr>
          <w:iCs/>
          <w:lang w:val="en-US"/>
        </w:rPr>
        <w:t>20</w:t>
      </w:r>
      <w:r w:rsidR="001160E2" w:rsidRPr="002F302A">
        <w:rPr>
          <w:iCs/>
        </w:rPr>
        <w:t>. године буџетски корисници дос</w:t>
      </w:r>
      <w:r w:rsidR="00A44F05">
        <w:rPr>
          <w:iCs/>
        </w:rPr>
        <w:t>тављају буџетске захтјеве за</w:t>
      </w:r>
      <w:r>
        <w:rPr>
          <w:iCs/>
        </w:rPr>
        <w:t xml:space="preserve"> 202</w:t>
      </w:r>
      <w:r w:rsidR="00531CF7">
        <w:rPr>
          <w:iCs/>
        </w:rPr>
        <w:t>2</w:t>
      </w:r>
      <w:r w:rsidR="001160E2" w:rsidRPr="002F302A">
        <w:rPr>
          <w:iCs/>
        </w:rPr>
        <w:t>. годину. Буџетски захтјев садржи финансијски захтјев и писмено образложење како је предвиђено Законом и овим Упутством, а припрему буџетског захтјева корисници врше у сарадњи са Одјељењем за финансије;</w:t>
      </w:r>
    </w:p>
    <w:p w:rsidR="001160E2" w:rsidRPr="002F302A" w:rsidRDefault="00055662" w:rsidP="002F302A">
      <w:pPr>
        <w:jc w:val="both"/>
        <w:rPr>
          <w:iCs/>
        </w:rPr>
      </w:pPr>
      <w:r>
        <w:rPr>
          <w:iCs/>
        </w:rPr>
        <w:t>-до 15.10.20</w:t>
      </w:r>
      <w:r w:rsidR="00531CF7">
        <w:rPr>
          <w:iCs/>
          <w:lang w:val="en-US"/>
        </w:rPr>
        <w:t>2</w:t>
      </w:r>
      <w:r w:rsidR="00531CF7">
        <w:rPr>
          <w:iCs/>
        </w:rPr>
        <w:t>1</w:t>
      </w:r>
      <w:r w:rsidR="001160E2" w:rsidRPr="002F302A">
        <w:rPr>
          <w:iCs/>
        </w:rPr>
        <w:t xml:space="preserve">. године Одјељење за финансије израђује Нацрт буџета општине </w:t>
      </w:r>
      <w:r w:rsidR="002F302A">
        <w:rPr>
          <w:iCs/>
        </w:rPr>
        <w:t>Невесиње</w:t>
      </w:r>
      <w:r>
        <w:rPr>
          <w:iCs/>
        </w:rPr>
        <w:t xml:space="preserve"> за 202</w:t>
      </w:r>
      <w:r w:rsidR="00531CF7">
        <w:rPr>
          <w:iCs/>
        </w:rPr>
        <w:t>2</w:t>
      </w:r>
      <w:r w:rsidR="001160E2" w:rsidRPr="002F302A">
        <w:rPr>
          <w:iCs/>
        </w:rPr>
        <w:t xml:space="preserve">. годину, у складу са смјерницама садржаним у ДОБ-у, а затим радну верзију доставља Начелнику општине; </w:t>
      </w:r>
    </w:p>
    <w:p w:rsidR="001160E2" w:rsidRDefault="001160E2" w:rsidP="002F302A">
      <w:pPr>
        <w:jc w:val="both"/>
        <w:rPr>
          <w:iCs/>
        </w:rPr>
      </w:pPr>
      <w:r w:rsidRPr="002F302A">
        <w:rPr>
          <w:iCs/>
        </w:rPr>
        <w:t>-</w:t>
      </w:r>
      <w:r w:rsidR="00A23359">
        <w:rPr>
          <w:iCs/>
        </w:rPr>
        <w:t xml:space="preserve"> 01. новембра текуће године надлежни </w:t>
      </w:r>
      <w:r w:rsidR="00171579">
        <w:rPr>
          <w:iCs/>
        </w:rPr>
        <w:t>извршни општински орган управе</w:t>
      </w:r>
      <w:r w:rsidR="00A23359">
        <w:rPr>
          <w:iCs/>
        </w:rPr>
        <w:t xml:space="preserve"> утврђује нацрт буџета и доставља га Министарству ради добијања препорука;</w:t>
      </w:r>
    </w:p>
    <w:p w:rsidR="001160E2" w:rsidRPr="002F302A" w:rsidRDefault="001160E2" w:rsidP="002F302A">
      <w:pPr>
        <w:jc w:val="both"/>
        <w:rPr>
          <w:iCs/>
        </w:rPr>
      </w:pPr>
      <w:r w:rsidRPr="002F302A">
        <w:rPr>
          <w:iCs/>
        </w:rPr>
        <w:t xml:space="preserve">-истовремено се Нацрт буџета објављује у „Службеном </w:t>
      </w:r>
      <w:r w:rsidR="002F302A">
        <w:rPr>
          <w:iCs/>
        </w:rPr>
        <w:t>гласнику</w:t>
      </w:r>
      <w:r w:rsidRPr="002F302A">
        <w:rPr>
          <w:iCs/>
        </w:rPr>
        <w:t xml:space="preserve"> општине </w:t>
      </w:r>
      <w:r w:rsidR="002F302A">
        <w:rPr>
          <w:iCs/>
        </w:rPr>
        <w:t>Невесиње</w:t>
      </w:r>
      <w:r w:rsidRPr="002F302A">
        <w:rPr>
          <w:iCs/>
        </w:rPr>
        <w:t>“ и WЕБ страници Општине са позивом за учешће грађана и организација цивилног друштва у одржавању јавних расправа;</w:t>
      </w:r>
    </w:p>
    <w:p w:rsidR="001160E2" w:rsidRPr="002F302A" w:rsidRDefault="001160E2" w:rsidP="002F302A">
      <w:pPr>
        <w:jc w:val="both"/>
        <w:rPr>
          <w:iCs/>
        </w:rPr>
      </w:pPr>
      <w:r w:rsidRPr="002F302A">
        <w:rPr>
          <w:iCs/>
        </w:rPr>
        <w:t>-јавне расправе проводи Радна група коју Начелник општи</w:t>
      </w:r>
      <w:r w:rsidR="00055662">
        <w:rPr>
          <w:iCs/>
        </w:rPr>
        <w:t>не формира Рјешењем до 30.10.20</w:t>
      </w:r>
      <w:r w:rsidR="00531CF7">
        <w:rPr>
          <w:iCs/>
          <w:lang w:val="en-US"/>
        </w:rPr>
        <w:t>2</w:t>
      </w:r>
      <w:r w:rsidR="00531CF7">
        <w:rPr>
          <w:iCs/>
        </w:rPr>
        <w:t>1</w:t>
      </w:r>
      <w:r w:rsidRPr="002F302A">
        <w:rPr>
          <w:iCs/>
        </w:rPr>
        <w:t>. године, а органи</w:t>
      </w:r>
      <w:r w:rsidR="00055662">
        <w:rPr>
          <w:iCs/>
        </w:rPr>
        <w:t>зују се  најкасније до 15.11.20</w:t>
      </w:r>
      <w:r w:rsidR="00531CF7">
        <w:rPr>
          <w:iCs/>
          <w:lang w:val="en-US"/>
        </w:rPr>
        <w:t>2</w:t>
      </w:r>
      <w:r w:rsidR="00531CF7">
        <w:rPr>
          <w:iCs/>
        </w:rPr>
        <w:t>1</w:t>
      </w:r>
      <w:r w:rsidRPr="002F302A">
        <w:rPr>
          <w:iCs/>
        </w:rPr>
        <w:t>. године;</w:t>
      </w:r>
    </w:p>
    <w:p w:rsidR="001160E2" w:rsidRPr="002F302A" w:rsidRDefault="001160E2" w:rsidP="002F302A">
      <w:pPr>
        <w:jc w:val="both"/>
        <w:rPr>
          <w:iCs/>
        </w:rPr>
      </w:pPr>
      <w:r w:rsidRPr="002F302A">
        <w:rPr>
          <w:iCs/>
        </w:rPr>
        <w:t xml:space="preserve">-до </w:t>
      </w:r>
      <w:r w:rsidR="00757CE8">
        <w:rPr>
          <w:iCs/>
        </w:rPr>
        <w:t>15</w:t>
      </w:r>
      <w:r w:rsidR="00055662">
        <w:rPr>
          <w:iCs/>
        </w:rPr>
        <w:t>.11.20</w:t>
      </w:r>
      <w:r w:rsidR="00531CF7">
        <w:rPr>
          <w:iCs/>
          <w:lang w:val="en-US"/>
        </w:rPr>
        <w:t>2</w:t>
      </w:r>
      <w:r w:rsidR="00531CF7">
        <w:rPr>
          <w:iCs/>
        </w:rPr>
        <w:t>1</w:t>
      </w:r>
      <w:r w:rsidRPr="002F302A">
        <w:rPr>
          <w:iCs/>
        </w:rPr>
        <w:t xml:space="preserve">. године Министарство даје сугестије и препоруке Одјељењу за финансије за израду </w:t>
      </w:r>
      <w:r w:rsidR="00A44F05">
        <w:rPr>
          <w:iCs/>
        </w:rPr>
        <w:t>п</w:t>
      </w:r>
      <w:r w:rsidR="00055662">
        <w:rPr>
          <w:iCs/>
        </w:rPr>
        <w:t>риједлога буџета општине за 202</w:t>
      </w:r>
      <w:r w:rsidR="00531CF7">
        <w:rPr>
          <w:iCs/>
        </w:rPr>
        <w:t>2</w:t>
      </w:r>
      <w:r w:rsidRPr="002F302A">
        <w:rPr>
          <w:iCs/>
        </w:rPr>
        <w:t xml:space="preserve">. годину; </w:t>
      </w:r>
    </w:p>
    <w:p w:rsidR="001160E2" w:rsidRPr="002F302A" w:rsidRDefault="001160E2" w:rsidP="002F302A">
      <w:pPr>
        <w:jc w:val="both"/>
        <w:rPr>
          <w:iCs/>
        </w:rPr>
      </w:pPr>
      <w:r w:rsidRPr="002F302A">
        <w:rPr>
          <w:iCs/>
        </w:rPr>
        <w:t>-</w:t>
      </w:r>
      <w:r w:rsidR="000A27D9">
        <w:rPr>
          <w:iCs/>
        </w:rPr>
        <w:t xml:space="preserve">истовремено до </w:t>
      </w:r>
      <w:r w:rsidR="00037EC7">
        <w:rPr>
          <w:iCs/>
        </w:rPr>
        <w:t>15</w:t>
      </w:r>
      <w:r w:rsidR="00055662">
        <w:rPr>
          <w:iCs/>
        </w:rPr>
        <w:t>.11.20</w:t>
      </w:r>
      <w:r w:rsidR="00531CF7">
        <w:rPr>
          <w:iCs/>
          <w:lang w:val="en-US"/>
        </w:rPr>
        <w:t>2</w:t>
      </w:r>
      <w:r w:rsidR="00531CF7">
        <w:rPr>
          <w:iCs/>
        </w:rPr>
        <w:t>1</w:t>
      </w:r>
      <w:r w:rsidR="00C90410">
        <w:rPr>
          <w:iCs/>
        </w:rPr>
        <w:t>.</w:t>
      </w:r>
      <w:r w:rsidRPr="002F302A">
        <w:rPr>
          <w:iCs/>
        </w:rPr>
        <w:t xml:space="preserve"> године Радна група за јавну расправу анализира примједбе, сугестије и уколико постоји могућност уграђује их у Приједлог буџета односно даје одговоре (принцип двосмјерне комуникације); </w:t>
      </w:r>
    </w:p>
    <w:p w:rsidR="001160E2" w:rsidRDefault="001160E2" w:rsidP="002F302A">
      <w:pPr>
        <w:jc w:val="both"/>
        <w:rPr>
          <w:iCs/>
        </w:rPr>
      </w:pPr>
      <w:r w:rsidRPr="002F302A">
        <w:rPr>
          <w:iCs/>
        </w:rPr>
        <w:lastRenderedPageBreak/>
        <w:t xml:space="preserve">-уважавајући резултате јавних расправа и препоруке Министарства Одјељење за финансије припрема радни материјал Приједлога буџета и доставља га Начелнику општине , а након анализе врше се евентуалне измјене и Начелник општине утврђује Приједлог буџета најкасније до </w:t>
      </w:r>
      <w:r w:rsidR="00037EC7">
        <w:rPr>
          <w:iCs/>
        </w:rPr>
        <w:t>20.11</w:t>
      </w:r>
      <w:r w:rsidR="00055662">
        <w:rPr>
          <w:iCs/>
        </w:rPr>
        <w:t>.20</w:t>
      </w:r>
      <w:r w:rsidR="00531CF7">
        <w:rPr>
          <w:iCs/>
          <w:lang w:val="en-US"/>
        </w:rPr>
        <w:t>2</w:t>
      </w:r>
      <w:r w:rsidR="00531CF7">
        <w:rPr>
          <w:iCs/>
        </w:rPr>
        <w:t>1</w:t>
      </w:r>
      <w:r w:rsidRPr="002F302A">
        <w:rPr>
          <w:iCs/>
        </w:rPr>
        <w:t>. године;</w:t>
      </w:r>
    </w:p>
    <w:p w:rsidR="00037EC7" w:rsidRPr="002F302A" w:rsidRDefault="00037EC7" w:rsidP="002F302A">
      <w:pPr>
        <w:jc w:val="both"/>
        <w:rPr>
          <w:iCs/>
        </w:rPr>
      </w:pPr>
      <w:r w:rsidRPr="007E71A4">
        <w:rPr>
          <w:iCs/>
        </w:rPr>
        <w:t>-5.</w:t>
      </w:r>
      <w:r w:rsidR="00055662">
        <w:rPr>
          <w:iCs/>
        </w:rPr>
        <w:t>12.20</w:t>
      </w:r>
      <w:r w:rsidR="00531CF7">
        <w:rPr>
          <w:iCs/>
          <w:lang w:val="en-US"/>
        </w:rPr>
        <w:t>2</w:t>
      </w:r>
      <w:r w:rsidR="00531CF7">
        <w:rPr>
          <w:iCs/>
        </w:rPr>
        <w:t>1</w:t>
      </w:r>
      <w:r w:rsidR="00055662">
        <w:rPr>
          <w:iCs/>
          <w:lang w:val="en-US"/>
        </w:rPr>
        <w:t>.</w:t>
      </w:r>
      <w:r w:rsidR="00055662">
        <w:rPr>
          <w:iCs/>
        </w:rPr>
        <w:t>године -</w:t>
      </w:r>
      <w:r>
        <w:rPr>
          <w:iCs/>
        </w:rPr>
        <w:t xml:space="preserve"> приједлог буџета општине за наредну фискалну годину усаглашен са Министарством,</w:t>
      </w:r>
      <w:r w:rsidR="00055662">
        <w:rPr>
          <w:iCs/>
        </w:rPr>
        <w:t xml:space="preserve"> </w:t>
      </w:r>
      <w:r>
        <w:rPr>
          <w:iCs/>
        </w:rPr>
        <w:t xml:space="preserve">извршни орган општине доставља скупштини </w:t>
      </w:r>
      <w:r w:rsidR="009B4656">
        <w:rPr>
          <w:iCs/>
        </w:rPr>
        <w:t>општине на усвајање;</w:t>
      </w:r>
    </w:p>
    <w:p w:rsidR="001160E2" w:rsidRPr="002F302A" w:rsidRDefault="00531CF7" w:rsidP="002F302A">
      <w:pPr>
        <w:jc w:val="both"/>
        <w:rPr>
          <w:iCs/>
        </w:rPr>
      </w:pPr>
      <w:r>
        <w:rPr>
          <w:iCs/>
        </w:rPr>
        <w:t>-15.12.2021</w:t>
      </w:r>
      <w:r w:rsidR="001160E2" w:rsidRPr="002F302A">
        <w:rPr>
          <w:iCs/>
        </w:rPr>
        <w:t>. године Скупштина општине Одлуком усваја</w:t>
      </w:r>
      <w:r>
        <w:rPr>
          <w:iCs/>
        </w:rPr>
        <w:t xml:space="preserve"> буџет општине за 2022</w:t>
      </w:r>
      <w:r w:rsidR="001160E2" w:rsidRPr="002F302A">
        <w:rPr>
          <w:iCs/>
        </w:rPr>
        <w:t xml:space="preserve">. годину и доноси Одлуку о извршењу буџета, а Стручна служба обезбјеђује објављивање усвојених Одлука у „Службеном </w:t>
      </w:r>
      <w:r w:rsidR="000A27D9">
        <w:rPr>
          <w:iCs/>
        </w:rPr>
        <w:t>гласнику</w:t>
      </w:r>
      <w:r w:rsidR="000A27D9" w:rsidRPr="002F302A">
        <w:rPr>
          <w:iCs/>
        </w:rPr>
        <w:t xml:space="preserve"> општине </w:t>
      </w:r>
      <w:r w:rsidR="000A27D9">
        <w:rPr>
          <w:iCs/>
        </w:rPr>
        <w:t>Невесиње</w:t>
      </w:r>
      <w:r w:rsidR="001160E2" w:rsidRPr="002F302A">
        <w:rPr>
          <w:iCs/>
        </w:rPr>
        <w:t>“.</w:t>
      </w:r>
    </w:p>
    <w:p w:rsidR="001160E2" w:rsidRDefault="00531CF7" w:rsidP="002F302A">
      <w:pPr>
        <w:jc w:val="both"/>
        <w:rPr>
          <w:iCs/>
        </w:rPr>
      </w:pPr>
      <w:r>
        <w:rPr>
          <w:iCs/>
        </w:rPr>
        <w:t>-до 24.12.2021</w:t>
      </w:r>
      <w:r w:rsidR="001160E2" w:rsidRPr="002F302A">
        <w:rPr>
          <w:iCs/>
        </w:rPr>
        <w:t>. године Одјељење за финансије достав</w:t>
      </w:r>
      <w:r w:rsidR="00A44F05">
        <w:rPr>
          <w:iCs/>
        </w:rPr>
        <w:t>љ</w:t>
      </w:r>
      <w:r>
        <w:rPr>
          <w:iCs/>
        </w:rPr>
        <w:t>а усвојени буџет општине за 2022</w:t>
      </w:r>
      <w:r w:rsidR="001160E2" w:rsidRPr="002F302A">
        <w:rPr>
          <w:iCs/>
        </w:rPr>
        <w:t>. годину Министарству финансија Републике Српске.</w:t>
      </w:r>
    </w:p>
    <w:p w:rsidR="000A27D9" w:rsidRPr="002F302A" w:rsidRDefault="000A27D9" w:rsidP="002F302A">
      <w:pPr>
        <w:jc w:val="both"/>
        <w:rPr>
          <w:iCs/>
        </w:rPr>
      </w:pPr>
    </w:p>
    <w:p w:rsidR="001160E2" w:rsidRPr="000A27D9" w:rsidRDefault="001160E2" w:rsidP="000A27D9">
      <w:pPr>
        <w:pStyle w:val="ListParagraph"/>
        <w:numPr>
          <w:ilvl w:val="0"/>
          <w:numId w:val="15"/>
        </w:numPr>
        <w:jc w:val="both"/>
        <w:rPr>
          <w:b/>
          <w:iCs/>
        </w:rPr>
      </w:pPr>
      <w:r w:rsidRPr="000A27D9">
        <w:rPr>
          <w:b/>
          <w:iCs/>
        </w:rPr>
        <w:t>Посебне напомене</w:t>
      </w:r>
    </w:p>
    <w:p w:rsidR="000A27D9" w:rsidRPr="000A27D9" w:rsidRDefault="000A27D9" w:rsidP="000A27D9">
      <w:pPr>
        <w:pStyle w:val="ListParagraph"/>
        <w:ind w:left="1065"/>
        <w:jc w:val="both"/>
        <w:rPr>
          <w:b/>
          <w:iCs/>
        </w:rPr>
      </w:pPr>
    </w:p>
    <w:p w:rsidR="001160E2" w:rsidRPr="000A27D9" w:rsidRDefault="001160E2" w:rsidP="002F302A">
      <w:pPr>
        <w:jc w:val="both"/>
        <w:rPr>
          <w:b/>
          <w:iCs/>
        </w:rPr>
      </w:pPr>
      <w:r w:rsidRPr="000A27D9">
        <w:rPr>
          <w:b/>
          <w:iCs/>
        </w:rPr>
        <w:t xml:space="preserve">(1)Захтјеве са текућим и капиталним издацима обавезно треба класификовати у складу са прописаним Контним оквиром за кориснике буџета Републике Српске, општина градова и фондова </w:t>
      </w:r>
      <w:r w:rsidRPr="00D253F6">
        <w:rPr>
          <w:b/>
          <w:iCs/>
          <w:u w:val="single"/>
        </w:rPr>
        <w:t>и утврдити кварталну динамику потрошње</w:t>
      </w:r>
      <w:r w:rsidRPr="000A27D9">
        <w:rPr>
          <w:b/>
          <w:iCs/>
        </w:rPr>
        <w:t>.</w:t>
      </w:r>
    </w:p>
    <w:p w:rsidR="001160E2" w:rsidRPr="000A27D9" w:rsidRDefault="001160E2" w:rsidP="002F302A">
      <w:pPr>
        <w:jc w:val="both"/>
        <w:rPr>
          <w:b/>
          <w:iCs/>
        </w:rPr>
      </w:pPr>
      <w:r w:rsidRPr="000A27D9">
        <w:rPr>
          <w:b/>
          <w:iCs/>
        </w:rPr>
        <w:t>(2)При изради финансијског плана придржавати се дозвољеног буџетског оквира као и рока за достављања финансијских планова према утврђеном буџетском календару, како би се испоштовале одредбе Закона о буџетском систему РС.</w:t>
      </w:r>
    </w:p>
    <w:p w:rsidR="001160E2" w:rsidRDefault="001160E2" w:rsidP="002F302A">
      <w:pPr>
        <w:jc w:val="both"/>
        <w:rPr>
          <w:b/>
          <w:iCs/>
          <w:lang w:val="en-US"/>
        </w:rPr>
      </w:pPr>
      <w:r w:rsidRPr="000A27D9">
        <w:rPr>
          <w:b/>
          <w:iCs/>
        </w:rPr>
        <w:t>(3)Крајњи рок за достављање приједлога финансијских планова Одјељењу</w:t>
      </w:r>
      <w:r w:rsidR="00055662">
        <w:rPr>
          <w:b/>
          <w:iCs/>
        </w:rPr>
        <w:t xml:space="preserve"> за фи</w:t>
      </w:r>
      <w:r w:rsidR="00531CF7">
        <w:rPr>
          <w:b/>
          <w:iCs/>
        </w:rPr>
        <w:t>нансије је 15.09.2021</w:t>
      </w:r>
      <w:r w:rsidRPr="000A27D9">
        <w:rPr>
          <w:b/>
          <w:iCs/>
        </w:rPr>
        <w:t>. године.</w:t>
      </w:r>
    </w:p>
    <w:p w:rsidR="001D718A" w:rsidRPr="001D718A" w:rsidRDefault="001D718A" w:rsidP="002F302A">
      <w:pPr>
        <w:jc w:val="both"/>
        <w:rPr>
          <w:b/>
          <w:iCs/>
        </w:rPr>
      </w:pPr>
    </w:p>
    <w:p w:rsidR="001160E2" w:rsidRPr="002F302A" w:rsidRDefault="001160E2" w:rsidP="002F302A">
      <w:pPr>
        <w:jc w:val="both"/>
        <w:rPr>
          <w:iCs/>
        </w:rPr>
      </w:pPr>
    </w:p>
    <w:p w:rsidR="005617C7" w:rsidRPr="002F302A" w:rsidRDefault="001160E2" w:rsidP="005617C7">
      <w:pPr>
        <w:rPr>
          <w:iCs/>
        </w:rPr>
      </w:pPr>
      <w:r w:rsidRPr="002F302A">
        <w:rPr>
          <w:iCs/>
        </w:rPr>
        <w:t xml:space="preserve">Број: </w:t>
      </w:r>
      <w:r w:rsidR="000A27D9">
        <w:rPr>
          <w:iCs/>
        </w:rPr>
        <w:t>03/40</w:t>
      </w:r>
      <w:r w:rsidR="00D253F6">
        <w:rPr>
          <w:iCs/>
        </w:rPr>
        <w:t>2</w:t>
      </w:r>
      <w:r w:rsidR="000A27D9">
        <w:rPr>
          <w:iCs/>
        </w:rPr>
        <w:t>-</w:t>
      </w:r>
      <w:r w:rsidR="00531CF7">
        <w:rPr>
          <w:iCs/>
        </w:rPr>
        <w:t>2/21</w:t>
      </w:r>
      <w:r w:rsidR="00055662">
        <w:rPr>
          <w:iCs/>
        </w:rPr>
        <w:t xml:space="preserve"> </w:t>
      </w:r>
      <w:r w:rsidR="005617C7">
        <w:rPr>
          <w:iCs/>
        </w:rPr>
        <w:t xml:space="preserve">                                                                 </w:t>
      </w:r>
      <w:r w:rsidR="005617C7" w:rsidRPr="002F302A">
        <w:rPr>
          <w:iCs/>
        </w:rPr>
        <w:t>НАЧЕЛНИК ОДЈЕЉЕЊА ЗА ФИНАНСИЈЕ:</w:t>
      </w:r>
    </w:p>
    <w:p w:rsidR="001160E2" w:rsidRPr="002F302A" w:rsidRDefault="005617C7" w:rsidP="001160E2">
      <w:pPr>
        <w:rPr>
          <w:iCs/>
        </w:rPr>
      </w:pPr>
      <w:r>
        <w:rPr>
          <w:iCs/>
        </w:rPr>
        <w:t xml:space="preserve">          </w:t>
      </w:r>
    </w:p>
    <w:p w:rsidR="005617C7" w:rsidRPr="002F302A" w:rsidRDefault="000A27D9" w:rsidP="005617C7">
      <w:pPr>
        <w:rPr>
          <w:iCs/>
        </w:rPr>
      </w:pPr>
      <w:r>
        <w:rPr>
          <w:iCs/>
        </w:rPr>
        <w:t>Невесиње</w:t>
      </w:r>
      <w:r w:rsidR="001160E2" w:rsidRPr="002F302A">
        <w:rPr>
          <w:iCs/>
        </w:rPr>
        <w:t>,</w:t>
      </w:r>
      <w:r w:rsidR="00055662">
        <w:rPr>
          <w:iCs/>
        </w:rPr>
        <w:t>20</w:t>
      </w:r>
      <w:r w:rsidR="00D253F6">
        <w:rPr>
          <w:iCs/>
        </w:rPr>
        <w:t>.</w:t>
      </w:r>
      <w:r w:rsidR="001160E2" w:rsidRPr="002F302A">
        <w:rPr>
          <w:iCs/>
        </w:rPr>
        <w:t>0</w:t>
      </w:r>
      <w:r w:rsidR="00C90410">
        <w:rPr>
          <w:iCs/>
        </w:rPr>
        <w:t>7</w:t>
      </w:r>
      <w:r w:rsidR="00531CF7">
        <w:rPr>
          <w:iCs/>
        </w:rPr>
        <w:t>.2021</w:t>
      </w:r>
      <w:r w:rsidR="001160E2" w:rsidRPr="002F302A">
        <w:rPr>
          <w:iCs/>
        </w:rPr>
        <w:t xml:space="preserve">. године </w:t>
      </w:r>
      <w:r w:rsidR="005617C7">
        <w:rPr>
          <w:iCs/>
        </w:rPr>
        <w:t xml:space="preserve">                                 </w:t>
      </w:r>
      <w:r w:rsidR="00531CF7">
        <w:rPr>
          <w:iCs/>
        </w:rPr>
        <w:t xml:space="preserve">                                        Сања Брењо</w:t>
      </w:r>
    </w:p>
    <w:p w:rsidR="005617C7" w:rsidRDefault="005617C7" w:rsidP="005617C7">
      <w:pPr>
        <w:rPr>
          <w:iCs/>
        </w:rPr>
      </w:pPr>
    </w:p>
    <w:p w:rsidR="00B930F8" w:rsidRDefault="005617C7" w:rsidP="001160E2">
      <w:pPr>
        <w:rPr>
          <w:iCs/>
        </w:rPr>
      </w:pPr>
      <w:r>
        <w:rPr>
          <w:iCs/>
        </w:rPr>
        <w:t xml:space="preserve">              </w:t>
      </w:r>
    </w:p>
    <w:p w:rsidR="00B930F8" w:rsidRDefault="00B930F8" w:rsidP="001160E2">
      <w:pPr>
        <w:rPr>
          <w:iCs/>
        </w:rPr>
      </w:pPr>
    </w:p>
    <w:p w:rsidR="001160E2" w:rsidRPr="002F302A" w:rsidRDefault="001160E2" w:rsidP="001160E2">
      <w:pPr>
        <w:rPr>
          <w:iCs/>
        </w:rPr>
      </w:pPr>
    </w:p>
    <w:p w:rsidR="000A27D9" w:rsidRDefault="000A27D9" w:rsidP="001160E2">
      <w:pPr>
        <w:rPr>
          <w:iCs/>
        </w:rPr>
      </w:pPr>
    </w:p>
    <w:sectPr w:rsidR="000A27D9" w:rsidSect="00631EB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2F0" w:rsidRDefault="003A32F0" w:rsidP="00257A9F">
      <w:r>
        <w:separator/>
      </w:r>
    </w:p>
  </w:endnote>
  <w:endnote w:type="continuationSeparator" w:id="0">
    <w:p w:rsidR="003A32F0" w:rsidRDefault="003A32F0" w:rsidP="0025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314" w:rsidRPr="00A63314" w:rsidRDefault="00A63314">
    <w:pPr>
      <w:pStyle w:val="Footer"/>
      <w:jc w:val="right"/>
    </w:pPr>
  </w:p>
  <w:p w:rsidR="00AA1B7D" w:rsidRDefault="00AA1B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2F0" w:rsidRDefault="003A32F0" w:rsidP="00257A9F">
      <w:r>
        <w:separator/>
      </w:r>
    </w:p>
  </w:footnote>
  <w:footnote w:type="continuationSeparator" w:id="0">
    <w:p w:rsidR="003A32F0" w:rsidRDefault="003A32F0" w:rsidP="0025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7E11"/>
    <w:multiLevelType w:val="hybridMultilevel"/>
    <w:tmpl w:val="62024D5C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8D38F9"/>
    <w:multiLevelType w:val="hybridMultilevel"/>
    <w:tmpl w:val="858E3D2C"/>
    <w:lvl w:ilvl="0" w:tplc="30521338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253749"/>
    <w:multiLevelType w:val="hybridMultilevel"/>
    <w:tmpl w:val="57A27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22949"/>
    <w:multiLevelType w:val="hybridMultilevel"/>
    <w:tmpl w:val="16669E44"/>
    <w:lvl w:ilvl="0" w:tplc="3006DA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3604D"/>
    <w:multiLevelType w:val="hybridMultilevel"/>
    <w:tmpl w:val="844AACE4"/>
    <w:lvl w:ilvl="0" w:tplc="07967F4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B14A1"/>
    <w:multiLevelType w:val="hybridMultilevel"/>
    <w:tmpl w:val="42F042E2"/>
    <w:lvl w:ilvl="0" w:tplc="30521338">
      <w:start w:val="1"/>
      <w:numFmt w:val="decimal"/>
      <w:lvlText w:val="(%1)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3CAB2C7F"/>
    <w:multiLevelType w:val="hybridMultilevel"/>
    <w:tmpl w:val="8FC8701A"/>
    <w:lvl w:ilvl="0" w:tplc="CF208B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080" w:hanging="360"/>
      </w:pPr>
    </w:lvl>
    <w:lvl w:ilvl="2" w:tplc="181A001B" w:tentative="1">
      <w:start w:val="1"/>
      <w:numFmt w:val="lowerRoman"/>
      <w:lvlText w:val="%3."/>
      <w:lvlJc w:val="right"/>
      <w:pPr>
        <w:ind w:left="1800" w:hanging="180"/>
      </w:pPr>
    </w:lvl>
    <w:lvl w:ilvl="3" w:tplc="181A000F" w:tentative="1">
      <w:start w:val="1"/>
      <w:numFmt w:val="decimal"/>
      <w:lvlText w:val="%4."/>
      <w:lvlJc w:val="left"/>
      <w:pPr>
        <w:ind w:left="2520" w:hanging="360"/>
      </w:pPr>
    </w:lvl>
    <w:lvl w:ilvl="4" w:tplc="181A0019" w:tentative="1">
      <w:start w:val="1"/>
      <w:numFmt w:val="lowerLetter"/>
      <w:lvlText w:val="%5."/>
      <w:lvlJc w:val="left"/>
      <w:pPr>
        <w:ind w:left="3240" w:hanging="360"/>
      </w:pPr>
    </w:lvl>
    <w:lvl w:ilvl="5" w:tplc="181A001B" w:tentative="1">
      <w:start w:val="1"/>
      <w:numFmt w:val="lowerRoman"/>
      <w:lvlText w:val="%6."/>
      <w:lvlJc w:val="right"/>
      <w:pPr>
        <w:ind w:left="3960" w:hanging="180"/>
      </w:pPr>
    </w:lvl>
    <w:lvl w:ilvl="6" w:tplc="181A000F" w:tentative="1">
      <w:start w:val="1"/>
      <w:numFmt w:val="decimal"/>
      <w:lvlText w:val="%7."/>
      <w:lvlJc w:val="left"/>
      <w:pPr>
        <w:ind w:left="4680" w:hanging="360"/>
      </w:pPr>
    </w:lvl>
    <w:lvl w:ilvl="7" w:tplc="181A0019" w:tentative="1">
      <w:start w:val="1"/>
      <w:numFmt w:val="lowerLetter"/>
      <w:lvlText w:val="%8."/>
      <w:lvlJc w:val="left"/>
      <w:pPr>
        <w:ind w:left="5400" w:hanging="360"/>
      </w:pPr>
    </w:lvl>
    <w:lvl w:ilvl="8" w:tplc="1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180E75"/>
    <w:multiLevelType w:val="hybridMultilevel"/>
    <w:tmpl w:val="7E6A3CA6"/>
    <w:lvl w:ilvl="0" w:tplc="8E2EE032">
      <w:start w:val="6"/>
      <w:numFmt w:val="bullet"/>
      <w:lvlText w:val="-"/>
      <w:lvlJc w:val="left"/>
      <w:pPr>
        <w:ind w:left="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8">
    <w:nsid w:val="45F16BEC"/>
    <w:multiLevelType w:val="hybridMultilevel"/>
    <w:tmpl w:val="639A7014"/>
    <w:lvl w:ilvl="0" w:tplc="70C8283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501E7F"/>
    <w:multiLevelType w:val="hybridMultilevel"/>
    <w:tmpl w:val="28ACB0F6"/>
    <w:lvl w:ilvl="0" w:tplc="3CECA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9A9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240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27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ACA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84AB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C2D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9CA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D6D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9F13E99"/>
    <w:multiLevelType w:val="hybridMultilevel"/>
    <w:tmpl w:val="5A609426"/>
    <w:lvl w:ilvl="0" w:tplc="305213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653E20"/>
    <w:multiLevelType w:val="hybridMultilevel"/>
    <w:tmpl w:val="B956CC02"/>
    <w:lvl w:ilvl="0" w:tplc="8C202D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932C95"/>
    <w:multiLevelType w:val="hybridMultilevel"/>
    <w:tmpl w:val="9DFA2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08224D"/>
    <w:multiLevelType w:val="hybridMultilevel"/>
    <w:tmpl w:val="566E4750"/>
    <w:lvl w:ilvl="0" w:tplc="AE440D66">
      <w:start w:val="2011"/>
      <w:numFmt w:val="bullet"/>
      <w:lvlText w:val="-"/>
      <w:lvlJc w:val="left"/>
      <w:pPr>
        <w:ind w:left="7488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9648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10368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11088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11808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12528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13248" w:hanging="360"/>
      </w:pPr>
      <w:rPr>
        <w:rFonts w:ascii="Wingdings" w:hAnsi="Wingdings" w:hint="default"/>
      </w:rPr>
    </w:lvl>
  </w:abstractNum>
  <w:abstractNum w:abstractNumId="14">
    <w:nsid w:val="6D9C361A"/>
    <w:multiLevelType w:val="hybridMultilevel"/>
    <w:tmpl w:val="69A8F070"/>
    <w:lvl w:ilvl="0" w:tplc="7F369B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E26A35"/>
    <w:multiLevelType w:val="hybridMultilevel"/>
    <w:tmpl w:val="017A0CDE"/>
    <w:lvl w:ilvl="0" w:tplc="0A26C8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E85851"/>
    <w:multiLevelType w:val="hybridMultilevel"/>
    <w:tmpl w:val="B01EE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A30A13"/>
    <w:multiLevelType w:val="hybridMultilevel"/>
    <w:tmpl w:val="096CEEE6"/>
    <w:lvl w:ilvl="0" w:tplc="D60045E0">
      <w:start w:val="20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13"/>
  </w:num>
  <w:num w:numId="5">
    <w:abstractNumId w:val="9"/>
  </w:num>
  <w:num w:numId="6">
    <w:abstractNumId w:val="6"/>
  </w:num>
  <w:num w:numId="7">
    <w:abstractNumId w:val="16"/>
  </w:num>
  <w:num w:numId="8">
    <w:abstractNumId w:val="7"/>
  </w:num>
  <w:num w:numId="9">
    <w:abstractNumId w:val="12"/>
  </w:num>
  <w:num w:numId="10">
    <w:abstractNumId w:val="10"/>
  </w:num>
  <w:num w:numId="11">
    <w:abstractNumId w:val="5"/>
  </w:num>
  <w:num w:numId="12">
    <w:abstractNumId w:val="1"/>
  </w:num>
  <w:num w:numId="13">
    <w:abstractNumId w:val="8"/>
  </w:num>
  <w:num w:numId="14">
    <w:abstractNumId w:val="4"/>
  </w:num>
  <w:num w:numId="15">
    <w:abstractNumId w:val="3"/>
  </w:num>
  <w:num w:numId="16">
    <w:abstractNumId w:val="15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0698"/>
    <w:rsid w:val="000115BC"/>
    <w:rsid w:val="00013992"/>
    <w:rsid w:val="0001601D"/>
    <w:rsid w:val="0001623A"/>
    <w:rsid w:val="000273E2"/>
    <w:rsid w:val="00027536"/>
    <w:rsid w:val="000333C7"/>
    <w:rsid w:val="00033DAD"/>
    <w:rsid w:val="0003709A"/>
    <w:rsid w:val="000376E8"/>
    <w:rsid w:val="00037EC7"/>
    <w:rsid w:val="00040698"/>
    <w:rsid w:val="00042FB6"/>
    <w:rsid w:val="00044F07"/>
    <w:rsid w:val="00045527"/>
    <w:rsid w:val="00050726"/>
    <w:rsid w:val="00053AD7"/>
    <w:rsid w:val="00055662"/>
    <w:rsid w:val="000618D2"/>
    <w:rsid w:val="000632B9"/>
    <w:rsid w:val="00063312"/>
    <w:rsid w:val="00072377"/>
    <w:rsid w:val="00074921"/>
    <w:rsid w:val="0008187B"/>
    <w:rsid w:val="000867FD"/>
    <w:rsid w:val="00094045"/>
    <w:rsid w:val="000A119A"/>
    <w:rsid w:val="000A27D9"/>
    <w:rsid w:val="000A4662"/>
    <w:rsid w:val="000A5049"/>
    <w:rsid w:val="000B1EB0"/>
    <w:rsid w:val="000B641B"/>
    <w:rsid w:val="000C68A3"/>
    <w:rsid w:val="000D1DB8"/>
    <w:rsid w:val="000D1FEA"/>
    <w:rsid w:val="000D42E9"/>
    <w:rsid w:val="000D4825"/>
    <w:rsid w:val="000E02EC"/>
    <w:rsid w:val="000E2531"/>
    <w:rsid w:val="000E4949"/>
    <w:rsid w:val="000F1BCD"/>
    <w:rsid w:val="001007F2"/>
    <w:rsid w:val="00101FDE"/>
    <w:rsid w:val="001031D4"/>
    <w:rsid w:val="001160E2"/>
    <w:rsid w:val="00116596"/>
    <w:rsid w:val="00116EC7"/>
    <w:rsid w:val="00117B91"/>
    <w:rsid w:val="00131589"/>
    <w:rsid w:val="00134B9D"/>
    <w:rsid w:val="00134E35"/>
    <w:rsid w:val="00147D4D"/>
    <w:rsid w:val="00150326"/>
    <w:rsid w:val="00152FA8"/>
    <w:rsid w:val="00154885"/>
    <w:rsid w:val="001674AD"/>
    <w:rsid w:val="00171579"/>
    <w:rsid w:val="00174077"/>
    <w:rsid w:val="00181C5B"/>
    <w:rsid w:val="00190458"/>
    <w:rsid w:val="00193B59"/>
    <w:rsid w:val="001A6570"/>
    <w:rsid w:val="001A7EFF"/>
    <w:rsid w:val="001B0636"/>
    <w:rsid w:val="001B1107"/>
    <w:rsid w:val="001B3999"/>
    <w:rsid w:val="001B5855"/>
    <w:rsid w:val="001C4484"/>
    <w:rsid w:val="001C79AF"/>
    <w:rsid w:val="001C7CDA"/>
    <w:rsid w:val="001D2C2F"/>
    <w:rsid w:val="001D718A"/>
    <w:rsid w:val="001E153F"/>
    <w:rsid w:val="001E58B9"/>
    <w:rsid w:val="001E7916"/>
    <w:rsid w:val="001F1CAC"/>
    <w:rsid w:val="001F2D8E"/>
    <w:rsid w:val="001F630B"/>
    <w:rsid w:val="0020332B"/>
    <w:rsid w:val="002044D1"/>
    <w:rsid w:val="00206F8F"/>
    <w:rsid w:val="002305C3"/>
    <w:rsid w:val="0023426E"/>
    <w:rsid w:val="00234690"/>
    <w:rsid w:val="00243482"/>
    <w:rsid w:val="002543D9"/>
    <w:rsid w:val="00256A2E"/>
    <w:rsid w:val="00257A9F"/>
    <w:rsid w:val="00263C82"/>
    <w:rsid w:val="00264E6A"/>
    <w:rsid w:val="002706E2"/>
    <w:rsid w:val="00277650"/>
    <w:rsid w:val="002826AF"/>
    <w:rsid w:val="00282810"/>
    <w:rsid w:val="00282F1D"/>
    <w:rsid w:val="00284183"/>
    <w:rsid w:val="002869EF"/>
    <w:rsid w:val="0029304D"/>
    <w:rsid w:val="002943B7"/>
    <w:rsid w:val="0029638F"/>
    <w:rsid w:val="002A11A5"/>
    <w:rsid w:val="002A4E65"/>
    <w:rsid w:val="002B151B"/>
    <w:rsid w:val="002B1D98"/>
    <w:rsid w:val="002B3A07"/>
    <w:rsid w:val="002B3F88"/>
    <w:rsid w:val="002B4B24"/>
    <w:rsid w:val="002C40CB"/>
    <w:rsid w:val="002D1660"/>
    <w:rsid w:val="002D52B9"/>
    <w:rsid w:val="002D5B95"/>
    <w:rsid w:val="002E0782"/>
    <w:rsid w:val="002E251D"/>
    <w:rsid w:val="002E3126"/>
    <w:rsid w:val="002E5991"/>
    <w:rsid w:val="002F302A"/>
    <w:rsid w:val="0030721C"/>
    <w:rsid w:val="00316718"/>
    <w:rsid w:val="00323297"/>
    <w:rsid w:val="00323C56"/>
    <w:rsid w:val="00341329"/>
    <w:rsid w:val="00351439"/>
    <w:rsid w:val="00356460"/>
    <w:rsid w:val="003716C7"/>
    <w:rsid w:val="00381BC0"/>
    <w:rsid w:val="00391900"/>
    <w:rsid w:val="00393874"/>
    <w:rsid w:val="00396B20"/>
    <w:rsid w:val="003974D5"/>
    <w:rsid w:val="003A02B9"/>
    <w:rsid w:val="003A1F00"/>
    <w:rsid w:val="003A32F0"/>
    <w:rsid w:val="003B184E"/>
    <w:rsid w:val="003B64EE"/>
    <w:rsid w:val="003C09B3"/>
    <w:rsid w:val="003C5F04"/>
    <w:rsid w:val="003C76BA"/>
    <w:rsid w:val="003C7D38"/>
    <w:rsid w:val="003D1F6D"/>
    <w:rsid w:val="003E0282"/>
    <w:rsid w:val="003E2E5D"/>
    <w:rsid w:val="003E353A"/>
    <w:rsid w:val="003E5EF6"/>
    <w:rsid w:val="003F0698"/>
    <w:rsid w:val="003F20ED"/>
    <w:rsid w:val="00415D36"/>
    <w:rsid w:val="00421038"/>
    <w:rsid w:val="00421ADC"/>
    <w:rsid w:val="004279C8"/>
    <w:rsid w:val="004328BC"/>
    <w:rsid w:val="004335FF"/>
    <w:rsid w:val="0043676D"/>
    <w:rsid w:val="00443334"/>
    <w:rsid w:val="00451E8D"/>
    <w:rsid w:val="004642BA"/>
    <w:rsid w:val="00467FE0"/>
    <w:rsid w:val="004769AF"/>
    <w:rsid w:val="00476E9B"/>
    <w:rsid w:val="00477105"/>
    <w:rsid w:val="0049493E"/>
    <w:rsid w:val="00494C13"/>
    <w:rsid w:val="00496021"/>
    <w:rsid w:val="0049713E"/>
    <w:rsid w:val="004A0190"/>
    <w:rsid w:val="004A2C6D"/>
    <w:rsid w:val="004B0568"/>
    <w:rsid w:val="004B4B17"/>
    <w:rsid w:val="004B7FB0"/>
    <w:rsid w:val="004C484F"/>
    <w:rsid w:val="004D2555"/>
    <w:rsid w:val="004E25A8"/>
    <w:rsid w:val="004F06DC"/>
    <w:rsid w:val="00507A93"/>
    <w:rsid w:val="00510C0D"/>
    <w:rsid w:val="00513AE5"/>
    <w:rsid w:val="005174A8"/>
    <w:rsid w:val="0052266D"/>
    <w:rsid w:val="005273B7"/>
    <w:rsid w:val="005316F3"/>
    <w:rsid w:val="00531CF7"/>
    <w:rsid w:val="005376C8"/>
    <w:rsid w:val="00543CF0"/>
    <w:rsid w:val="00550142"/>
    <w:rsid w:val="00555E02"/>
    <w:rsid w:val="00560B1F"/>
    <w:rsid w:val="005617C7"/>
    <w:rsid w:val="005657F6"/>
    <w:rsid w:val="00575B6C"/>
    <w:rsid w:val="00582DEF"/>
    <w:rsid w:val="00582EEF"/>
    <w:rsid w:val="00583A7D"/>
    <w:rsid w:val="00592B42"/>
    <w:rsid w:val="00592C41"/>
    <w:rsid w:val="00595170"/>
    <w:rsid w:val="00597F39"/>
    <w:rsid w:val="005A18EE"/>
    <w:rsid w:val="005C50FF"/>
    <w:rsid w:val="005D440B"/>
    <w:rsid w:val="005D50C4"/>
    <w:rsid w:val="005D52C4"/>
    <w:rsid w:val="005D64B2"/>
    <w:rsid w:val="005E68AF"/>
    <w:rsid w:val="005F6B18"/>
    <w:rsid w:val="00600B75"/>
    <w:rsid w:val="00601C0C"/>
    <w:rsid w:val="0060321B"/>
    <w:rsid w:val="0061448A"/>
    <w:rsid w:val="0061767A"/>
    <w:rsid w:val="00620B62"/>
    <w:rsid w:val="00627615"/>
    <w:rsid w:val="00631EB5"/>
    <w:rsid w:val="00634246"/>
    <w:rsid w:val="006345FF"/>
    <w:rsid w:val="0063678A"/>
    <w:rsid w:val="0064041C"/>
    <w:rsid w:val="0065175B"/>
    <w:rsid w:val="006563E6"/>
    <w:rsid w:val="00656EFF"/>
    <w:rsid w:val="006571CC"/>
    <w:rsid w:val="00665866"/>
    <w:rsid w:val="00692A8F"/>
    <w:rsid w:val="006A358F"/>
    <w:rsid w:val="006B4DAB"/>
    <w:rsid w:val="006B7CB0"/>
    <w:rsid w:val="006C001A"/>
    <w:rsid w:val="006C118C"/>
    <w:rsid w:val="006C514B"/>
    <w:rsid w:val="006D3532"/>
    <w:rsid w:val="006D4A7C"/>
    <w:rsid w:val="006D6191"/>
    <w:rsid w:val="006E2431"/>
    <w:rsid w:val="006F00B3"/>
    <w:rsid w:val="006F016E"/>
    <w:rsid w:val="006F1F06"/>
    <w:rsid w:val="00720A53"/>
    <w:rsid w:val="00726B2A"/>
    <w:rsid w:val="00732BA7"/>
    <w:rsid w:val="00737D18"/>
    <w:rsid w:val="0075395B"/>
    <w:rsid w:val="00757CE8"/>
    <w:rsid w:val="007607C2"/>
    <w:rsid w:val="007609AA"/>
    <w:rsid w:val="007612B8"/>
    <w:rsid w:val="00777884"/>
    <w:rsid w:val="00777E54"/>
    <w:rsid w:val="00781276"/>
    <w:rsid w:val="0079369F"/>
    <w:rsid w:val="00797CA7"/>
    <w:rsid w:val="007A3306"/>
    <w:rsid w:val="007A6E34"/>
    <w:rsid w:val="007B14E6"/>
    <w:rsid w:val="007C1160"/>
    <w:rsid w:val="007C186C"/>
    <w:rsid w:val="007C4B50"/>
    <w:rsid w:val="007C7B5F"/>
    <w:rsid w:val="007D0722"/>
    <w:rsid w:val="007D0D74"/>
    <w:rsid w:val="007D3CB5"/>
    <w:rsid w:val="007D5C52"/>
    <w:rsid w:val="007E1591"/>
    <w:rsid w:val="007E1837"/>
    <w:rsid w:val="007E71A4"/>
    <w:rsid w:val="007F556D"/>
    <w:rsid w:val="00804A8F"/>
    <w:rsid w:val="008104DF"/>
    <w:rsid w:val="00827842"/>
    <w:rsid w:val="008447FA"/>
    <w:rsid w:val="00844C3C"/>
    <w:rsid w:val="00857646"/>
    <w:rsid w:val="00857B7C"/>
    <w:rsid w:val="008629A0"/>
    <w:rsid w:val="008652E4"/>
    <w:rsid w:val="008717E2"/>
    <w:rsid w:val="00872B9F"/>
    <w:rsid w:val="00885975"/>
    <w:rsid w:val="0088715B"/>
    <w:rsid w:val="00893C7A"/>
    <w:rsid w:val="008946BE"/>
    <w:rsid w:val="00895CB3"/>
    <w:rsid w:val="00897B81"/>
    <w:rsid w:val="008A6ED5"/>
    <w:rsid w:val="008A7B41"/>
    <w:rsid w:val="008B23EE"/>
    <w:rsid w:val="008B4AFA"/>
    <w:rsid w:val="008C5D16"/>
    <w:rsid w:val="008C7BDA"/>
    <w:rsid w:val="008D1131"/>
    <w:rsid w:val="008E0C6B"/>
    <w:rsid w:val="008E3393"/>
    <w:rsid w:val="008E45B1"/>
    <w:rsid w:val="008E49B5"/>
    <w:rsid w:val="008E4B3F"/>
    <w:rsid w:val="008E5DE4"/>
    <w:rsid w:val="008F1FA8"/>
    <w:rsid w:val="008F4478"/>
    <w:rsid w:val="008F5F67"/>
    <w:rsid w:val="0090490A"/>
    <w:rsid w:val="009068F5"/>
    <w:rsid w:val="00912729"/>
    <w:rsid w:val="00922203"/>
    <w:rsid w:val="00924DAA"/>
    <w:rsid w:val="00931318"/>
    <w:rsid w:val="0093201F"/>
    <w:rsid w:val="00933704"/>
    <w:rsid w:val="00935046"/>
    <w:rsid w:val="00936F61"/>
    <w:rsid w:val="00946D4D"/>
    <w:rsid w:val="00965F49"/>
    <w:rsid w:val="0096757E"/>
    <w:rsid w:val="00971C1F"/>
    <w:rsid w:val="009722A5"/>
    <w:rsid w:val="00972B27"/>
    <w:rsid w:val="00972DE5"/>
    <w:rsid w:val="00980599"/>
    <w:rsid w:val="009807A6"/>
    <w:rsid w:val="00986310"/>
    <w:rsid w:val="009908CD"/>
    <w:rsid w:val="00994B3F"/>
    <w:rsid w:val="009A3863"/>
    <w:rsid w:val="009A7F25"/>
    <w:rsid w:val="009B294B"/>
    <w:rsid w:val="009B4656"/>
    <w:rsid w:val="009C04E6"/>
    <w:rsid w:val="009C0875"/>
    <w:rsid w:val="009C6847"/>
    <w:rsid w:val="009D7ED7"/>
    <w:rsid w:val="009E0095"/>
    <w:rsid w:val="009E1406"/>
    <w:rsid w:val="009E56FC"/>
    <w:rsid w:val="00A2247F"/>
    <w:rsid w:val="00A23359"/>
    <w:rsid w:val="00A257A0"/>
    <w:rsid w:val="00A367A7"/>
    <w:rsid w:val="00A403BA"/>
    <w:rsid w:val="00A41875"/>
    <w:rsid w:val="00A41A1E"/>
    <w:rsid w:val="00A4351E"/>
    <w:rsid w:val="00A44F05"/>
    <w:rsid w:val="00A5024F"/>
    <w:rsid w:val="00A50381"/>
    <w:rsid w:val="00A60877"/>
    <w:rsid w:val="00A63314"/>
    <w:rsid w:val="00A63A63"/>
    <w:rsid w:val="00A66A8D"/>
    <w:rsid w:val="00A7049D"/>
    <w:rsid w:val="00A723A3"/>
    <w:rsid w:val="00A76831"/>
    <w:rsid w:val="00A77447"/>
    <w:rsid w:val="00A80823"/>
    <w:rsid w:val="00A840C8"/>
    <w:rsid w:val="00A866EF"/>
    <w:rsid w:val="00A904D5"/>
    <w:rsid w:val="00A90B77"/>
    <w:rsid w:val="00A9100E"/>
    <w:rsid w:val="00A92072"/>
    <w:rsid w:val="00A92C69"/>
    <w:rsid w:val="00A930AB"/>
    <w:rsid w:val="00A94E44"/>
    <w:rsid w:val="00A957F6"/>
    <w:rsid w:val="00AA0FEA"/>
    <w:rsid w:val="00AA1B7D"/>
    <w:rsid w:val="00AA5778"/>
    <w:rsid w:val="00AB0988"/>
    <w:rsid w:val="00AB2788"/>
    <w:rsid w:val="00AB513F"/>
    <w:rsid w:val="00AB656E"/>
    <w:rsid w:val="00AB76CE"/>
    <w:rsid w:val="00AC0F13"/>
    <w:rsid w:val="00AC1A5A"/>
    <w:rsid w:val="00AC4728"/>
    <w:rsid w:val="00AD4FE7"/>
    <w:rsid w:val="00AF48AD"/>
    <w:rsid w:val="00AF5F53"/>
    <w:rsid w:val="00B033D9"/>
    <w:rsid w:val="00B06BD3"/>
    <w:rsid w:val="00B16357"/>
    <w:rsid w:val="00B173E2"/>
    <w:rsid w:val="00B24D73"/>
    <w:rsid w:val="00B26810"/>
    <w:rsid w:val="00B272CA"/>
    <w:rsid w:val="00B30FC5"/>
    <w:rsid w:val="00B3549E"/>
    <w:rsid w:val="00B40679"/>
    <w:rsid w:val="00B44F4A"/>
    <w:rsid w:val="00B51F7A"/>
    <w:rsid w:val="00B63686"/>
    <w:rsid w:val="00B70A10"/>
    <w:rsid w:val="00B82655"/>
    <w:rsid w:val="00B83DF4"/>
    <w:rsid w:val="00B863EC"/>
    <w:rsid w:val="00B87E7D"/>
    <w:rsid w:val="00B930F8"/>
    <w:rsid w:val="00B93E59"/>
    <w:rsid w:val="00BA1B4D"/>
    <w:rsid w:val="00BB1C87"/>
    <w:rsid w:val="00BC2576"/>
    <w:rsid w:val="00BE0DDE"/>
    <w:rsid w:val="00BE34B1"/>
    <w:rsid w:val="00BE4CA5"/>
    <w:rsid w:val="00BF1606"/>
    <w:rsid w:val="00BF51A4"/>
    <w:rsid w:val="00BF546E"/>
    <w:rsid w:val="00BF6D4F"/>
    <w:rsid w:val="00BF7764"/>
    <w:rsid w:val="00C004CD"/>
    <w:rsid w:val="00C015F5"/>
    <w:rsid w:val="00C128C8"/>
    <w:rsid w:val="00C152B6"/>
    <w:rsid w:val="00C15AA1"/>
    <w:rsid w:val="00C21B34"/>
    <w:rsid w:val="00C31DFD"/>
    <w:rsid w:val="00C3211B"/>
    <w:rsid w:val="00C3767B"/>
    <w:rsid w:val="00C45A00"/>
    <w:rsid w:val="00C46022"/>
    <w:rsid w:val="00C51C9D"/>
    <w:rsid w:val="00C5546C"/>
    <w:rsid w:val="00C5706D"/>
    <w:rsid w:val="00C83D98"/>
    <w:rsid w:val="00C90410"/>
    <w:rsid w:val="00C91A6F"/>
    <w:rsid w:val="00CA79A9"/>
    <w:rsid w:val="00CB2802"/>
    <w:rsid w:val="00CB5C60"/>
    <w:rsid w:val="00CB64E3"/>
    <w:rsid w:val="00CC04BE"/>
    <w:rsid w:val="00CC281C"/>
    <w:rsid w:val="00CC3E3D"/>
    <w:rsid w:val="00CC5B4F"/>
    <w:rsid w:val="00CD4D1E"/>
    <w:rsid w:val="00CD7A68"/>
    <w:rsid w:val="00CE545C"/>
    <w:rsid w:val="00CE5715"/>
    <w:rsid w:val="00CE5814"/>
    <w:rsid w:val="00CF43FF"/>
    <w:rsid w:val="00D04FF4"/>
    <w:rsid w:val="00D14D3F"/>
    <w:rsid w:val="00D20518"/>
    <w:rsid w:val="00D23ED0"/>
    <w:rsid w:val="00D253F6"/>
    <w:rsid w:val="00D25CEB"/>
    <w:rsid w:val="00D25EFA"/>
    <w:rsid w:val="00D3267A"/>
    <w:rsid w:val="00D372B7"/>
    <w:rsid w:val="00D4084C"/>
    <w:rsid w:val="00D45D97"/>
    <w:rsid w:val="00D47BAB"/>
    <w:rsid w:val="00D52DCC"/>
    <w:rsid w:val="00D53186"/>
    <w:rsid w:val="00D531A7"/>
    <w:rsid w:val="00D56075"/>
    <w:rsid w:val="00D71163"/>
    <w:rsid w:val="00D724A2"/>
    <w:rsid w:val="00D7428B"/>
    <w:rsid w:val="00D75E13"/>
    <w:rsid w:val="00D842A0"/>
    <w:rsid w:val="00D8489A"/>
    <w:rsid w:val="00D85E42"/>
    <w:rsid w:val="00D90408"/>
    <w:rsid w:val="00D94920"/>
    <w:rsid w:val="00DB2C6B"/>
    <w:rsid w:val="00DB3CBF"/>
    <w:rsid w:val="00DC0E0A"/>
    <w:rsid w:val="00DC6E1A"/>
    <w:rsid w:val="00DC7C04"/>
    <w:rsid w:val="00DD0167"/>
    <w:rsid w:val="00DD3F74"/>
    <w:rsid w:val="00DE028E"/>
    <w:rsid w:val="00DE2454"/>
    <w:rsid w:val="00DF244D"/>
    <w:rsid w:val="00DF6783"/>
    <w:rsid w:val="00DF6FDB"/>
    <w:rsid w:val="00E26482"/>
    <w:rsid w:val="00E31FDA"/>
    <w:rsid w:val="00E340D1"/>
    <w:rsid w:val="00E3718D"/>
    <w:rsid w:val="00E40E98"/>
    <w:rsid w:val="00E52B95"/>
    <w:rsid w:val="00E54712"/>
    <w:rsid w:val="00E64294"/>
    <w:rsid w:val="00E646E4"/>
    <w:rsid w:val="00E66A6E"/>
    <w:rsid w:val="00E76B0F"/>
    <w:rsid w:val="00E76B26"/>
    <w:rsid w:val="00E772C7"/>
    <w:rsid w:val="00E81A8F"/>
    <w:rsid w:val="00E862C3"/>
    <w:rsid w:val="00E913CA"/>
    <w:rsid w:val="00E93503"/>
    <w:rsid w:val="00E97AE8"/>
    <w:rsid w:val="00EA11C1"/>
    <w:rsid w:val="00EB5941"/>
    <w:rsid w:val="00EC0936"/>
    <w:rsid w:val="00ED2219"/>
    <w:rsid w:val="00ED2AA1"/>
    <w:rsid w:val="00ED7564"/>
    <w:rsid w:val="00EE21D9"/>
    <w:rsid w:val="00EE2824"/>
    <w:rsid w:val="00EE4A8F"/>
    <w:rsid w:val="00EF48F8"/>
    <w:rsid w:val="00F04027"/>
    <w:rsid w:val="00F07398"/>
    <w:rsid w:val="00F109F0"/>
    <w:rsid w:val="00F10FD5"/>
    <w:rsid w:val="00F1176F"/>
    <w:rsid w:val="00F12F3E"/>
    <w:rsid w:val="00F13505"/>
    <w:rsid w:val="00F151D9"/>
    <w:rsid w:val="00F170FF"/>
    <w:rsid w:val="00F21398"/>
    <w:rsid w:val="00F25C69"/>
    <w:rsid w:val="00F323C3"/>
    <w:rsid w:val="00F348D4"/>
    <w:rsid w:val="00F36A12"/>
    <w:rsid w:val="00F46D1F"/>
    <w:rsid w:val="00F616BA"/>
    <w:rsid w:val="00F616C7"/>
    <w:rsid w:val="00F62BCD"/>
    <w:rsid w:val="00F652FA"/>
    <w:rsid w:val="00F67F36"/>
    <w:rsid w:val="00F73726"/>
    <w:rsid w:val="00F85CB2"/>
    <w:rsid w:val="00F9186C"/>
    <w:rsid w:val="00F955F7"/>
    <w:rsid w:val="00F97914"/>
    <w:rsid w:val="00F97F2E"/>
    <w:rsid w:val="00FA05FD"/>
    <w:rsid w:val="00FA133A"/>
    <w:rsid w:val="00FA1B47"/>
    <w:rsid w:val="00FA2AC0"/>
    <w:rsid w:val="00FB253C"/>
    <w:rsid w:val="00FB25F3"/>
    <w:rsid w:val="00FB2FE4"/>
    <w:rsid w:val="00FB4024"/>
    <w:rsid w:val="00FB6FE1"/>
    <w:rsid w:val="00FB79B0"/>
    <w:rsid w:val="00FC08DF"/>
    <w:rsid w:val="00FC34A7"/>
    <w:rsid w:val="00FD0D3F"/>
    <w:rsid w:val="00FD24F6"/>
    <w:rsid w:val="00FD682E"/>
    <w:rsid w:val="00FE6265"/>
    <w:rsid w:val="00FE7F9C"/>
    <w:rsid w:val="00FF1A5A"/>
    <w:rsid w:val="00FF4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0FD5"/>
    <w:rPr>
      <w:sz w:val="24"/>
      <w:szCs w:val="24"/>
      <w:lang w:val="sr-Cyrl-BA" w:eastAsia="sr-Latn-CS"/>
    </w:rPr>
  </w:style>
  <w:style w:type="paragraph" w:styleId="Heading1">
    <w:name w:val="heading 1"/>
    <w:basedOn w:val="Normal"/>
    <w:next w:val="Normal"/>
    <w:link w:val="Heading1Char"/>
    <w:qFormat/>
    <w:rsid w:val="00844C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160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4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10C0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844C3C"/>
    <w:rPr>
      <w:rFonts w:ascii="Cambria" w:eastAsia="Times New Roman" w:hAnsi="Cambria" w:cs="Times New Roman"/>
      <w:b/>
      <w:bCs/>
      <w:kern w:val="32"/>
      <w:sz w:val="32"/>
      <w:szCs w:val="32"/>
      <w:lang w:val="sr-Latn-CS" w:eastAsia="sr-Latn-CS"/>
    </w:rPr>
  </w:style>
  <w:style w:type="table" w:styleId="TableClassic1">
    <w:name w:val="Table Classic 1"/>
    <w:basedOn w:val="TableNormal"/>
    <w:rsid w:val="0055014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50142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olumns5">
    <w:name w:val="Table Columns 5"/>
    <w:basedOn w:val="TableNormal"/>
    <w:rsid w:val="00550142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imple2">
    <w:name w:val="Table Simple 2"/>
    <w:basedOn w:val="TableNormal"/>
    <w:rsid w:val="0055014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550142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e1">
    <w:name w:val="Style1"/>
    <w:basedOn w:val="Table3Deffects3"/>
    <w:rsid w:val="0055014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A02B9"/>
    <w:pPr>
      <w:ind w:left="720"/>
      <w:contextualSpacing/>
    </w:pPr>
    <w:rPr>
      <w:lang w:val="sr-Latn-BA" w:eastAsia="sr-Latn-BA"/>
    </w:rPr>
  </w:style>
  <w:style w:type="table" w:styleId="Table3Deffects3">
    <w:name w:val="Table 3D effects 3"/>
    <w:basedOn w:val="TableNormal"/>
    <w:rsid w:val="0055014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rsid w:val="00257A9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57A9F"/>
    <w:rPr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rsid w:val="00257A9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A9F"/>
    <w:rPr>
      <w:sz w:val="24"/>
      <w:szCs w:val="24"/>
      <w:lang w:val="sr-Latn-CS" w:eastAsia="sr-Latn-C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4B3F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E4B3F"/>
    <w:pPr>
      <w:spacing w:after="100" w:line="276" w:lineRule="auto"/>
      <w:ind w:left="220"/>
    </w:pPr>
    <w:rPr>
      <w:rFonts w:ascii="Calibri" w:hAnsi="Calibri"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B5C60"/>
    <w:pPr>
      <w:tabs>
        <w:tab w:val="left" w:pos="440"/>
        <w:tab w:val="right" w:leader="dot" w:pos="9204"/>
      </w:tabs>
      <w:spacing w:after="100" w:line="276" w:lineRule="auto"/>
      <w:ind w:left="284" w:hanging="426"/>
    </w:pPr>
    <w:rPr>
      <w:rFonts w:ascii="Calibri" w:hAnsi="Calibri"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E4B3F"/>
    <w:pPr>
      <w:spacing w:after="100" w:line="276" w:lineRule="auto"/>
      <w:ind w:left="440"/>
    </w:pPr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8E4B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4B3F"/>
    <w:rPr>
      <w:rFonts w:ascii="Tahoma" w:hAnsi="Tahoma" w:cs="Tahoma"/>
      <w:sz w:val="16"/>
      <w:szCs w:val="16"/>
      <w:lang w:val="sr-Latn-CS" w:eastAsia="sr-Latn-CS"/>
    </w:rPr>
  </w:style>
  <w:style w:type="paragraph" w:customStyle="1" w:styleId="Default">
    <w:name w:val="Default"/>
    <w:rsid w:val="0004552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sr-Latn-BA" w:eastAsia="sr-Latn-BA"/>
    </w:rPr>
  </w:style>
  <w:style w:type="character" w:customStyle="1" w:styleId="Heading2Char">
    <w:name w:val="Heading 2 Char"/>
    <w:basedOn w:val="DefaultParagraphFont"/>
    <w:link w:val="Heading2"/>
    <w:semiHidden/>
    <w:rsid w:val="001160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Cyrl-BA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018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598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6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86330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60088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633892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8779343">
          <w:marLeft w:val="0"/>
          <w:marRight w:val="0"/>
          <w:marTop w:val="150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4138">
              <w:marLeft w:val="0"/>
              <w:marRight w:val="0"/>
              <w:marTop w:val="0"/>
              <w:marBottom w:val="0"/>
              <w:divBdr>
                <w:top w:val="single" w:sz="6" w:space="8" w:color="CACAC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1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6960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33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3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44274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06931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996078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447872">
          <w:marLeft w:val="0"/>
          <w:marRight w:val="0"/>
          <w:marTop w:val="150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574">
              <w:marLeft w:val="0"/>
              <w:marRight w:val="0"/>
              <w:marTop w:val="0"/>
              <w:marBottom w:val="0"/>
              <w:divBdr>
                <w:top w:val="single" w:sz="6" w:space="8" w:color="CACAC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449E1-69E0-44A6-BD5B-30DACDAE6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6</Pages>
  <Words>2618</Words>
  <Characters>14929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Uputstvo za pripremu budžeta 2013. g</vt:lpstr>
    </vt:vector>
  </TitlesOfParts>
  <Company/>
  <LinksUpToDate>false</LinksUpToDate>
  <CharactersWithSpaces>17512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Uputstvo za pripremu budžeta 2013. g</dc:title>
  <dc:creator>ndjuric</dc:creator>
  <cp:lastModifiedBy>Bojana Djurasovic</cp:lastModifiedBy>
  <cp:revision>32</cp:revision>
  <cp:lastPrinted>2018-07-24T12:38:00Z</cp:lastPrinted>
  <dcterms:created xsi:type="dcterms:W3CDTF">2019-08-05T06:32:00Z</dcterms:created>
  <dcterms:modified xsi:type="dcterms:W3CDTF">2021-07-20T06:03:00Z</dcterms:modified>
</cp:coreProperties>
</file>